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30" w:rsidRPr="003B4130" w:rsidRDefault="003B4130" w:rsidP="003B4130">
      <w:pPr>
        <w:rPr>
          <w:rFonts w:ascii="Times New Roman" w:hAnsi="Times New Roman" w:cs="Times New Roman"/>
          <w:sz w:val="24"/>
          <w:szCs w:val="24"/>
          <w:lang w:val="en-US"/>
        </w:rPr>
      </w:pPr>
      <w:proofErr w:type="spellStart"/>
      <w:r w:rsidRPr="003B4130">
        <w:rPr>
          <w:rFonts w:ascii="Times New Roman" w:hAnsi="Times New Roman" w:cs="Times New Roman"/>
          <w:sz w:val="24"/>
          <w:szCs w:val="24"/>
          <w:lang w:val="en-US"/>
        </w:rPr>
        <w:t>Olena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Pchelintseva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Cherkasy</w:t>
      </w:r>
      <w:proofErr w:type="spellEnd"/>
      <w:r w:rsidRPr="003B4130">
        <w:rPr>
          <w:rFonts w:ascii="Times New Roman" w:hAnsi="Times New Roman" w:cs="Times New Roman"/>
          <w:sz w:val="24"/>
          <w:szCs w:val="24"/>
          <w:lang w:val="en-US"/>
        </w:rPr>
        <w:t xml:space="preserve"> State Technological University, Ukraine</w:t>
      </w:r>
      <w:proofErr w:type="gramStart"/>
      <w:r w:rsidRPr="003B4130">
        <w:rPr>
          <w:rFonts w:ascii="Times New Roman" w:hAnsi="Times New Roman" w:cs="Times New Roman"/>
          <w:sz w:val="24"/>
          <w:szCs w:val="24"/>
          <w:lang w:val="en-US"/>
        </w:rPr>
        <w:t xml:space="preserve">)  </w:t>
      </w:r>
      <w:proofErr w:type="gramEnd"/>
      <w:r w:rsidRPr="003B4130">
        <w:rPr>
          <w:rFonts w:ascii="Times New Roman" w:hAnsi="Times New Roman" w:cs="Times New Roman"/>
          <w:sz w:val="24"/>
          <w:szCs w:val="24"/>
          <w:lang w:val="en-US"/>
        </w:rPr>
        <w:fldChar w:fldCharType="begin"/>
      </w:r>
      <w:r w:rsidRPr="003B4130">
        <w:rPr>
          <w:rFonts w:ascii="Times New Roman" w:hAnsi="Times New Roman" w:cs="Times New Roman"/>
          <w:sz w:val="24"/>
          <w:szCs w:val="24"/>
          <w:lang w:val="en-US"/>
        </w:rPr>
        <w:instrText xml:space="preserve"> HYPERLINK "mailto:</w:instrText>
      </w:r>
      <w:r w:rsidRPr="003B4130">
        <w:rPr>
          <w:rFonts w:ascii="Times New Roman" w:hAnsi="Times New Roman" w:cs="Times New Roman"/>
          <w:sz w:val="24"/>
          <w:szCs w:val="24"/>
          <w:lang w:val="en-US"/>
        </w:rPr>
        <w:instrText>pchele@gmail.com</w:instrText>
      </w:r>
      <w:r w:rsidRPr="003B4130">
        <w:rPr>
          <w:rFonts w:ascii="Times New Roman" w:hAnsi="Times New Roman" w:cs="Times New Roman"/>
          <w:sz w:val="24"/>
          <w:szCs w:val="24"/>
          <w:lang w:val="en-US"/>
        </w:rPr>
        <w:instrText xml:space="preserve">" </w:instrText>
      </w:r>
      <w:r w:rsidRPr="003B4130">
        <w:rPr>
          <w:rFonts w:ascii="Times New Roman" w:hAnsi="Times New Roman" w:cs="Times New Roman"/>
          <w:sz w:val="24"/>
          <w:szCs w:val="24"/>
          <w:lang w:val="en-US"/>
        </w:rPr>
        <w:fldChar w:fldCharType="separate"/>
      </w:r>
      <w:r w:rsidRPr="003B4130">
        <w:rPr>
          <w:rStyle w:val="a3"/>
          <w:rFonts w:ascii="Times New Roman" w:hAnsi="Times New Roman" w:cs="Times New Roman"/>
          <w:sz w:val="24"/>
          <w:szCs w:val="24"/>
          <w:lang w:val="en-US"/>
        </w:rPr>
        <w:t>pchele@gmail.com</w:t>
      </w:r>
      <w:r w:rsidRPr="003B4130">
        <w:rPr>
          <w:rFonts w:ascii="Times New Roman" w:hAnsi="Times New Roman" w:cs="Times New Roman"/>
          <w:sz w:val="24"/>
          <w:szCs w:val="24"/>
          <w:lang w:val="en-US"/>
        </w:rPr>
        <w:fldChar w:fldCharType="end"/>
      </w:r>
    </w:p>
    <w:p w:rsidR="003B4130" w:rsidRPr="003B4130" w:rsidRDefault="003B4130" w:rsidP="003B4130">
      <w:pPr>
        <w:rPr>
          <w:rFonts w:ascii="Times New Roman" w:hAnsi="Times New Roman" w:cs="Times New Roman"/>
          <w:sz w:val="24"/>
          <w:szCs w:val="24"/>
          <w:lang w:val="en-US"/>
        </w:rPr>
      </w:pPr>
      <w:proofErr w:type="spellStart"/>
      <w:r w:rsidRPr="003B4130">
        <w:rPr>
          <w:rFonts w:ascii="Times New Roman" w:hAnsi="Times New Roman" w:cs="Times New Roman"/>
          <w:sz w:val="24"/>
          <w:szCs w:val="24"/>
          <w:lang w:val="en-US"/>
        </w:rPr>
        <w:t>Elizaveta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Sosnovtseva</w:t>
      </w:r>
      <w:proofErr w:type="spellEnd"/>
      <w:r w:rsidRPr="003B4130">
        <w:rPr>
          <w:rFonts w:ascii="Times New Roman" w:hAnsi="Times New Roman" w:cs="Times New Roman"/>
          <w:sz w:val="24"/>
          <w:szCs w:val="24"/>
          <w:lang w:val="en-US"/>
        </w:rPr>
        <w:t xml:space="preserve"> (Institute for Linguistic Studies / Russian Academy of Sciences and St Petersburg University, Russia) e.sosnovtseva@gmail.com  </w:t>
      </w:r>
    </w:p>
    <w:p w:rsidR="003B4130" w:rsidRPr="003B4130" w:rsidRDefault="003B4130" w:rsidP="003B4130">
      <w:pPr>
        <w:jc w:val="center"/>
        <w:rPr>
          <w:rFonts w:ascii="Times New Roman" w:hAnsi="Times New Roman" w:cs="Times New Roman"/>
          <w:b/>
          <w:sz w:val="24"/>
          <w:szCs w:val="24"/>
          <w:lang w:val="en-US"/>
        </w:rPr>
      </w:pPr>
      <w:r w:rsidRPr="003B4130">
        <w:rPr>
          <w:rFonts w:ascii="Times New Roman" w:hAnsi="Times New Roman" w:cs="Times New Roman"/>
          <w:b/>
          <w:sz w:val="24"/>
          <w:szCs w:val="24"/>
          <w:lang w:val="en-US"/>
        </w:rPr>
        <w:t xml:space="preserve">The category of Aspect and </w:t>
      </w:r>
      <w:proofErr w:type="spellStart"/>
      <w:r w:rsidRPr="003B4130">
        <w:rPr>
          <w:rFonts w:ascii="Times New Roman" w:hAnsi="Times New Roman" w:cs="Times New Roman"/>
          <w:b/>
          <w:sz w:val="24"/>
          <w:szCs w:val="24"/>
          <w:lang w:val="en-US"/>
        </w:rPr>
        <w:t>Nomina</w:t>
      </w:r>
      <w:proofErr w:type="spellEnd"/>
      <w:r w:rsidRPr="003B4130">
        <w:rPr>
          <w:rFonts w:ascii="Times New Roman" w:hAnsi="Times New Roman" w:cs="Times New Roman"/>
          <w:b/>
          <w:sz w:val="24"/>
          <w:szCs w:val="24"/>
          <w:lang w:val="en-US"/>
        </w:rPr>
        <w:t xml:space="preserve"> </w:t>
      </w:r>
      <w:proofErr w:type="spellStart"/>
      <w:r w:rsidRPr="003B4130">
        <w:rPr>
          <w:rFonts w:ascii="Times New Roman" w:hAnsi="Times New Roman" w:cs="Times New Roman"/>
          <w:b/>
          <w:sz w:val="24"/>
          <w:szCs w:val="24"/>
          <w:lang w:val="en-US"/>
        </w:rPr>
        <w:t>Actionis</w:t>
      </w:r>
      <w:proofErr w:type="spellEnd"/>
    </w:p>
    <w:p w:rsidR="003B4130" w:rsidRPr="003B4130" w:rsidRDefault="003B4130" w:rsidP="003B4130">
      <w:pPr>
        <w:jc w:val="both"/>
        <w:rPr>
          <w:rFonts w:ascii="Times New Roman" w:hAnsi="Times New Roman" w:cs="Times New Roman"/>
          <w:sz w:val="24"/>
          <w:szCs w:val="24"/>
          <w:lang w:val="en-US"/>
        </w:rPr>
      </w:pPr>
      <w:r w:rsidRPr="003B4130">
        <w:rPr>
          <w:rFonts w:ascii="Times New Roman" w:hAnsi="Times New Roman" w:cs="Times New Roman"/>
          <w:sz w:val="24"/>
          <w:szCs w:val="24"/>
          <w:lang w:val="en-US"/>
        </w:rPr>
        <w:t xml:space="preserve">In our talk we develop the idea of the semantic complexity and movability of verbal aspect in </w:t>
      </w:r>
      <w:proofErr w:type="spellStart"/>
      <w:r w:rsidRPr="003B4130">
        <w:rPr>
          <w:rFonts w:ascii="Times New Roman" w:hAnsi="Times New Roman" w:cs="Times New Roman"/>
          <w:sz w:val="24"/>
          <w:szCs w:val="24"/>
          <w:lang w:val="en-US"/>
        </w:rPr>
        <w:t>diachrony</w:t>
      </w:r>
      <w:proofErr w:type="spellEnd"/>
      <w:r w:rsidRPr="003B4130">
        <w:rPr>
          <w:rFonts w:ascii="Times New Roman" w:hAnsi="Times New Roman" w:cs="Times New Roman"/>
          <w:sz w:val="24"/>
          <w:szCs w:val="24"/>
          <w:lang w:val="en-US"/>
        </w:rPr>
        <w:t xml:space="preserve"> and try to compare the diachronic data under investigation with the results of the analysis of children’s mistakes in producing and using </w:t>
      </w:r>
      <w:proofErr w:type="spellStart"/>
      <w:r w:rsidRPr="003B4130">
        <w:rPr>
          <w:rFonts w:ascii="Times New Roman" w:hAnsi="Times New Roman" w:cs="Times New Roman"/>
          <w:sz w:val="24"/>
          <w:szCs w:val="24"/>
          <w:lang w:val="en-US"/>
        </w:rPr>
        <w:t>Nomina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Actionis</w:t>
      </w:r>
      <w:proofErr w:type="spellEnd"/>
      <w:r w:rsidRPr="003B4130">
        <w:rPr>
          <w:rFonts w:ascii="Times New Roman" w:hAnsi="Times New Roman" w:cs="Times New Roman"/>
          <w:sz w:val="24"/>
          <w:szCs w:val="24"/>
          <w:lang w:val="en-US"/>
        </w:rPr>
        <w:t xml:space="preserve"> (NA) based on the material of corpora. When Slavic verbs derive NAs, the category of aspect weakens (this phenomena is especially typical for Russian NAs). At the same time, the analysis of the category in </w:t>
      </w:r>
      <w:proofErr w:type="spellStart"/>
      <w:r w:rsidRPr="003B4130">
        <w:rPr>
          <w:rFonts w:ascii="Times New Roman" w:hAnsi="Times New Roman" w:cs="Times New Roman"/>
          <w:sz w:val="24"/>
          <w:szCs w:val="24"/>
          <w:lang w:val="en-US"/>
        </w:rPr>
        <w:t>Nomina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actionis</w:t>
      </w:r>
      <w:proofErr w:type="spellEnd"/>
      <w:r w:rsidRPr="003B4130">
        <w:rPr>
          <w:rFonts w:ascii="Times New Roman" w:hAnsi="Times New Roman" w:cs="Times New Roman"/>
          <w:sz w:val="24"/>
          <w:szCs w:val="24"/>
          <w:lang w:val="en-US"/>
        </w:rPr>
        <w:t xml:space="preserve"> reveals specific features, which are usually implied and not obvious under direct examination. We suggest that a diachronic analysis of NAs using data from corpora can make clearer some nontrivial elements of the development of the category of aspect in Slavic languages. For instance, there is a special point of interest in the statistically significant emergence or decline during different historical periods which can be observed for such pairs of NAs like </w:t>
      </w:r>
      <w:proofErr w:type="spellStart"/>
      <w:r w:rsidRPr="003B4130">
        <w:rPr>
          <w:rFonts w:ascii="Times New Roman" w:hAnsi="Times New Roman" w:cs="Times New Roman"/>
          <w:sz w:val="24"/>
          <w:szCs w:val="24"/>
        </w:rPr>
        <w:t>нагруживаніе</w:t>
      </w:r>
      <w:proofErr w:type="spellEnd"/>
      <w:r w:rsidRPr="003B4130">
        <w:rPr>
          <w:rFonts w:ascii="Times New Roman" w:hAnsi="Times New Roman" w:cs="Times New Roman"/>
          <w:sz w:val="24"/>
          <w:szCs w:val="24"/>
          <w:lang w:val="en-US"/>
        </w:rPr>
        <w:t xml:space="preserve"> — </w:t>
      </w:r>
      <w:proofErr w:type="spellStart"/>
      <w:r w:rsidRPr="003B4130">
        <w:rPr>
          <w:rFonts w:ascii="Times New Roman" w:hAnsi="Times New Roman" w:cs="Times New Roman"/>
          <w:sz w:val="24"/>
          <w:szCs w:val="24"/>
        </w:rPr>
        <w:t>нагруженіе</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ʻloadingʼ</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rPr>
        <w:t>дьрзнутие</w:t>
      </w:r>
      <w:proofErr w:type="spellEnd"/>
      <w:r w:rsidRPr="003B4130">
        <w:rPr>
          <w:rFonts w:ascii="Times New Roman" w:hAnsi="Times New Roman" w:cs="Times New Roman"/>
          <w:sz w:val="24"/>
          <w:szCs w:val="24"/>
          <w:lang w:val="en-US"/>
        </w:rPr>
        <w:t xml:space="preserve">  – </w:t>
      </w:r>
      <w:proofErr w:type="spellStart"/>
      <w:r w:rsidRPr="003B4130">
        <w:rPr>
          <w:rFonts w:ascii="Times New Roman" w:hAnsi="Times New Roman" w:cs="Times New Roman"/>
          <w:sz w:val="24"/>
          <w:szCs w:val="24"/>
        </w:rPr>
        <w:t>дьрзновение</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ʻdare</w:t>
      </w:r>
      <w:proofErr w:type="spellEnd"/>
      <w:r w:rsidRPr="003B4130">
        <w:rPr>
          <w:rFonts w:ascii="Times New Roman" w:hAnsi="Times New Roman" w:cs="Times New Roman"/>
          <w:sz w:val="24"/>
          <w:szCs w:val="24"/>
          <w:lang w:val="en-US"/>
        </w:rPr>
        <w:t xml:space="preserve">, bold </w:t>
      </w:r>
      <w:proofErr w:type="spellStart"/>
      <w:r w:rsidRPr="003B4130">
        <w:rPr>
          <w:rFonts w:ascii="Times New Roman" w:hAnsi="Times New Roman" w:cs="Times New Roman"/>
          <w:sz w:val="24"/>
          <w:szCs w:val="24"/>
          <w:lang w:val="en-US"/>
        </w:rPr>
        <w:t>actionʼ</w:t>
      </w:r>
      <w:proofErr w:type="spellEnd"/>
      <w:r w:rsidRPr="003B4130">
        <w:rPr>
          <w:rFonts w:ascii="Times New Roman" w:hAnsi="Times New Roman" w:cs="Times New Roman"/>
          <w:sz w:val="24"/>
          <w:szCs w:val="24"/>
          <w:lang w:val="en-US"/>
        </w:rPr>
        <w:t xml:space="preserve"> or unpaired ones like </w:t>
      </w:r>
      <w:proofErr w:type="spellStart"/>
      <w:r w:rsidRPr="003B4130">
        <w:rPr>
          <w:rFonts w:ascii="Times New Roman" w:hAnsi="Times New Roman" w:cs="Times New Roman"/>
          <w:sz w:val="24"/>
          <w:szCs w:val="24"/>
        </w:rPr>
        <w:t>сбытіе</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ʻimplementationʼ</w:t>
      </w:r>
      <w:proofErr w:type="spellEnd"/>
      <w:r w:rsidRPr="003B4130">
        <w:rPr>
          <w:rFonts w:ascii="Times New Roman" w:hAnsi="Times New Roman" w:cs="Times New Roman"/>
          <w:sz w:val="24"/>
          <w:szCs w:val="24"/>
          <w:lang w:val="en-US"/>
        </w:rPr>
        <w:t>. The list of Russian NAs of earlier historical periods differs greatly from that of the modern language. For example, in comparison to modern Russian, during the XI-</w:t>
      </w:r>
      <w:proofErr w:type="spellStart"/>
      <w:r w:rsidRPr="003B4130">
        <w:rPr>
          <w:rFonts w:ascii="Times New Roman" w:hAnsi="Times New Roman" w:cs="Times New Roman"/>
          <w:sz w:val="24"/>
          <w:szCs w:val="24"/>
          <w:lang w:val="en-US"/>
        </w:rPr>
        <w:t>XIVth</w:t>
      </w:r>
      <w:proofErr w:type="spellEnd"/>
      <w:r w:rsidRPr="003B4130">
        <w:rPr>
          <w:rFonts w:ascii="Times New Roman" w:hAnsi="Times New Roman" w:cs="Times New Roman"/>
          <w:sz w:val="24"/>
          <w:szCs w:val="24"/>
          <w:lang w:val="en-US"/>
        </w:rPr>
        <w:t xml:space="preserve"> centuries much more NAs were in semantic and derivational correlation with verbs of perfective aspect or with verbs of neutral aspect, which is supposed to be explained by the “fuzzy” semantic borders of the developing category of aspect in Old Russian. Later, during the XVI-</w:t>
      </w:r>
      <w:proofErr w:type="spellStart"/>
      <w:r w:rsidRPr="003B4130">
        <w:rPr>
          <w:rFonts w:ascii="Times New Roman" w:hAnsi="Times New Roman" w:cs="Times New Roman"/>
          <w:sz w:val="24"/>
          <w:szCs w:val="24"/>
          <w:lang w:val="en-US"/>
        </w:rPr>
        <w:t>XVIIIth</w:t>
      </w:r>
      <w:proofErr w:type="spellEnd"/>
      <w:r w:rsidRPr="003B4130">
        <w:rPr>
          <w:rFonts w:ascii="Times New Roman" w:hAnsi="Times New Roman" w:cs="Times New Roman"/>
          <w:sz w:val="24"/>
          <w:szCs w:val="24"/>
          <w:lang w:val="en-US"/>
        </w:rPr>
        <w:t xml:space="preserve"> centuries, at the same time as the means of </w:t>
      </w:r>
      <w:proofErr w:type="spellStart"/>
      <w:r w:rsidRPr="003B4130">
        <w:rPr>
          <w:rFonts w:ascii="Times New Roman" w:hAnsi="Times New Roman" w:cs="Times New Roman"/>
          <w:sz w:val="24"/>
          <w:szCs w:val="24"/>
          <w:lang w:val="en-US"/>
        </w:rPr>
        <w:t>perfectivisation</w:t>
      </w:r>
      <w:proofErr w:type="spellEnd"/>
      <w:r w:rsidRPr="003B4130">
        <w:rPr>
          <w:rFonts w:ascii="Times New Roman" w:hAnsi="Times New Roman" w:cs="Times New Roman"/>
          <w:sz w:val="24"/>
          <w:szCs w:val="24"/>
          <w:lang w:val="en-US"/>
        </w:rPr>
        <w:t xml:space="preserve"> and </w:t>
      </w:r>
      <w:proofErr w:type="spellStart"/>
      <w:r w:rsidRPr="003B4130">
        <w:rPr>
          <w:rFonts w:ascii="Times New Roman" w:hAnsi="Times New Roman" w:cs="Times New Roman"/>
          <w:sz w:val="24"/>
          <w:szCs w:val="24"/>
          <w:lang w:val="en-US"/>
        </w:rPr>
        <w:t>imperfectivisation</w:t>
      </w:r>
      <w:proofErr w:type="spellEnd"/>
      <w:r w:rsidRPr="003B4130">
        <w:rPr>
          <w:rFonts w:ascii="Times New Roman" w:hAnsi="Times New Roman" w:cs="Times New Roman"/>
          <w:sz w:val="24"/>
          <w:szCs w:val="24"/>
          <w:lang w:val="en-US"/>
        </w:rPr>
        <w:t xml:space="preserve"> were developing, the number of NAs such as </w:t>
      </w:r>
      <w:proofErr w:type="spellStart"/>
      <w:r w:rsidRPr="003B4130">
        <w:rPr>
          <w:rFonts w:ascii="Times New Roman" w:hAnsi="Times New Roman" w:cs="Times New Roman"/>
          <w:sz w:val="24"/>
          <w:szCs w:val="24"/>
        </w:rPr>
        <w:t>вбежание</w:t>
      </w:r>
      <w:proofErr w:type="spellEnd"/>
      <w:r w:rsidRPr="003B4130">
        <w:rPr>
          <w:rFonts w:ascii="Times New Roman" w:hAnsi="Times New Roman" w:cs="Times New Roman"/>
          <w:sz w:val="24"/>
          <w:szCs w:val="24"/>
          <w:lang w:val="en-US"/>
        </w:rPr>
        <w:t xml:space="preserve"> — </w:t>
      </w:r>
      <w:proofErr w:type="spellStart"/>
      <w:r w:rsidRPr="003B4130">
        <w:rPr>
          <w:rFonts w:ascii="Times New Roman" w:hAnsi="Times New Roman" w:cs="Times New Roman"/>
          <w:sz w:val="24"/>
          <w:szCs w:val="24"/>
        </w:rPr>
        <w:t>вбегивание</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ʻrunning</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inʼ</w:t>
      </w:r>
      <w:proofErr w:type="spellEnd"/>
      <w:r w:rsidRPr="003B4130">
        <w:rPr>
          <w:rFonts w:ascii="Times New Roman" w:hAnsi="Times New Roman" w:cs="Times New Roman"/>
          <w:sz w:val="24"/>
          <w:szCs w:val="24"/>
          <w:lang w:val="en-US"/>
        </w:rPr>
        <w:t xml:space="preserve"> increased step-wise, many of which disappeared later (</w:t>
      </w:r>
      <w:proofErr w:type="spellStart"/>
      <w:r w:rsidRPr="003B4130">
        <w:rPr>
          <w:rFonts w:ascii="Times New Roman" w:hAnsi="Times New Roman" w:cs="Times New Roman"/>
          <w:sz w:val="24"/>
          <w:szCs w:val="24"/>
          <w:lang w:val="en-US"/>
        </w:rPr>
        <w:t>Pchelintseva</w:t>
      </w:r>
      <w:proofErr w:type="spellEnd"/>
      <w:r w:rsidRPr="003B4130">
        <w:rPr>
          <w:rFonts w:ascii="Times New Roman" w:hAnsi="Times New Roman" w:cs="Times New Roman"/>
          <w:sz w:val="24"/>
          <w:szCs w:val="24"/>
          <w:lang w:val="en-US"/>
        </w:rPr>
        <w:t xml:space="preserve"> 2016). We argue that the development of Russian perfective aspect was followed by the extension of time definiteness semantics taking s</w:t>
      </w:r>
      <w:bookmarkStart w:id="0" w:name="_GoBack"/>
      <w:bookmarkEnd w:id="0"/>
      <w:r w:rsidRPr="003B4130">
        <w:rPr>
          <w:rFonts w:ascii="Times New Roman" w:hAnsi="Times New Roman" w:cs="Times New Roman"/>
          <w:sz w:val="24"/>
          <w:szCs w:val="24"/>
          <w:lang w:val="en-US"/>
        </w:rPr>
        <w:t xml:space="preserve">tep by step the main position among other semantic elements.  Our preliminary assumptions will be checked and elaborated by using the corpus of Chronicles, the St. Petersburg Corpus of Russian hagiographical manuscripts (SKAT) and other </w:t>
      </w:r>
      <w:proofErr w:type="spellStart"/>
      <w:r w:rsidRPr="003B4130">
        <w:rPr>
          <w:rFonts w:ascii="Times New Roman" w:hAnsi="Times New Roman" w:cs="Times New Roman"/>
          <w:sz w:val="24"/>
          <w:szCs w:val="24"/>
          <w:lang w:val="en-US"/>
        </w:rPr>
        <w:t>diachronical</w:t>
      </w:r>
      <w:proofErr w:type="spellEnd"/>
      <w:r w:rsidRPr="003B4130">
        <w:rPr>
          <w:rFonts w:ascii="Times New Roman" w:hAnsi="Times New Roman" w:cs="Times New Roman"/>
          <w:sz w:val="24"/>
          <w:szCs w:val="24"/>
          <w:lang w:val="en-US"/>
        </w:rPr>
        <w:t xml:space="preserve"> Russian corpora. We are going to check the use and the range in the formation of variants of </w:t>
      </w:r>
      <w:proofErr w:type="spellStart"/>
      <w:r w:rsidRPr="003B4130">
        <w:rPr>
          <w:rFonts w:ascii="Times New Roman" w:hAnsi="Times New Roman" w:cs="Times New Roman"/>
          <w:sz w:val="24"/>
          <w:szCs w:val="24"/>
          <w:lang w:val="en-US"/>
        </w:rPr>
        <w:t>nomina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actionis</w:t>
      </w:r>
      <w:proofErr w:type="spellEnd"/>
      <w:r w:rsidRPr="003B4130">
        <w:rPr>
          <w:rFonts w:ascii="Times New Roman" w:hAnsi="Times New Roman" w:cs="Times New Roman"/>
          <w:sz w:val="24"/>
          <w:szCs w:val="24"/>
          <w:lang w:val="en-US"/>
        </w:rPr>
        <w:t xml:space="preserve">. Our analysis studies semantics of aspect of the original verbs (continuous-limitative, distributive, etc.). There are also some noteworthy correlations between our diachronic data and the mistakes which occur when children derive NAs. The material on children’s mistakes is based on the Corpus of child written speech </w:t>
      </w:r>
      <w:proofErr w:type="spellStart"/>
      <w:r w:rsidRPr="003B4130">
        <w:rPr>
          <w:rFonts w:ascii="Times New Roman" w:hAnsi="Times New Roman" w:cs="Times New Roman"/>
          <w:sz w:val="24"/>
          <w:szCs w:val="24"/>
          <w:lang w:val="en-US"/>
        </w:rPr>
        <w:t>StartWrit</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Akhapkina</w:t>
      </w:r>
      <w:proofErr w:type="spellEnd"/>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Sosnovtseva</w:t>
      </w:r>
      <w:proofErr w:type="spellEnd"/>
      <w:r w:rsidRPr="003B4130">
        <w:rPr>
          <w:rFonts w:ascii="Times New Roman" w:hAnsi="Times New Roman" w:cs="Times New Roman"/>
          <w:sz w:val="24"/>
          <w:szCs w:val="24"/>
          <w:lang w:val="en-US"/>
        </w:rPr>
        <w:t xml:space="preserve"> 2017), i.e. </w:t>
      </w:r>
      <w:r w:rsidRPr="003B4130">
        <w:rPr>
          <w:rFonts w:ascii="Times New Roman" w:hAnsi="Times New Roman" w:cs="Times New Roman"/>
          <w:sz w:val="24"/>
          <w:szCs w:val="24"/>
        </w:rPr>
        <w:t>Пушкин</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оказался</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в</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ссылке</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за</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имение</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отношения</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к</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восстанию</w:t>
      </w:r>
      <w:r w:rsidRPr="003B4130">
        <w:rPr>
          <w:rFonts w:ascii="Times New Roman" w:hAnsi="Times New Roman" w:cs="Times New Roman"/>
          <w:sz w:val="24"/>
          <w:szCs w:val="24"/>
          <w:lang w:val="en-US"/>
        </w:rPr>
        <w:t xml:space="preserve"> </w:t>
      </w:r>
      <w:r w:rsidRPr="003B4130">
        <w:rPr>
          <w:rFonts w:ascii="Times New Roman" w:hAnsi="Times New Roman" w:cs="Times New Roman"/>
          <w:sz w:val="24"/>
          <w:szCs w:val="24"/>
        </w:rPr>
        <w:t>декабристов</w:t>
      </w:r>
      <w:r w:rsidRPr="003B4130">
        <w:rPr>
          <w:rFonts w:ascii="Times New Roman" w:hAnsi="Times New Roman" w:cs="Times New Roman"/>
          <w:sz w:val="24"/>
          <w:szCs w:val="24"/>
          <w:lang w:val="en-US"/>
        </w:rPr>
        <w:t xml:space="preserve"> </w:t>
      </w:r>
      <w:proofErr w:type="spellStart"/>
      <w:r w:rsidRPr="003B4130">
        <w:rPr>
          <w:rFonts w:ascii="Times New Roman" w:hAnsi="Times New Roman" w:cs="Times New Roman"/>
          <w:sz w:val="24"/>
          <w:szCs w:val="24"/>
          <w:lang w:val="en-US"/>
        </w:rPr>
        <w:t>ʻPushkin</w:t>
      </w:r>
      <w:proofErr w:type="spellEnd"/>
      <w:r w:rsidRPr="003B4130">
        <w:rPr>
          <w:rFonts w:ascii="Times New Roman" w:hAnsi="Times New Roman" w:cs="Times New Roman"/>
          <w:sz w:val="24"/>
          <w:szCs w:val="24"/>
          <w:lang w:val="en-US"/>
        </w:rPr>
        <w:t xml:space="preserve"> ended up in exile due to the fact that he was related to the Decembrist </w:t>
      </w:r>
      <w:proofErr w:type="spellStart"/>
      <w:r w:rsidRPr="003B4130">
        <w:rPr>
          <w:rFonts w:ascii="Times New Roman" w:hAnsi="Times New Roman" w:cs="Times New Roman"/>
          <w:sz w:val="24"/>
          <w:szCs w:val="24"/>
          <w:lang w:val="en-US"/>
        </w:rPr>
        <w:t>uprisingʼ</w:t>
      </w:r>
      <w:proofErr w:type="spellEnd"/>
      <w:r w:rsidRPr="003B4130">
        <w:rPr>
          <w:rFonts w:ascii="Times New Roman" w:hAnsi="Times New Roman" w:cs="Times New Roman"/>
          <w:sz w:val="24"/>
          <w:szCs w:val="24"/>
          <w:lang w:val="en-US"/>
        </w:rPr>
        <w:t xml:space="preserve">. It would be interesting to find out neologisms that contrast with current tendencies and those ones which exist in the variation zone in which the word-building potential of the system is realized in spite of prescriptive rules. We expect to find some coincidence of forms and/or grammatical tendencies in children’s speech and in diachronic texts.  </w:t>
      </w:r>
    </w:p>
    <w:p w:rsidR="005A17D7" w:rsidRPr="003B4130" w:rsidRDefault="003B4130" w:rsidP="003B4130">
      <w:pPr>
        <w:rPr>
          <w:rFonts w:ascii="Times New Roman" w:hAnsi="Times New Roman" w:cs="Times New Roman"/>
          <w:sz w:val="24"/>
          <w:szCs w:val="24"/>
        </w:rPr>
      </w:pPr>
      <w:proofErr w:type="spellStart"/>
      <w:r w:rsidRPr="003B4130">
        <w:rPr>
          <w:rFonts w:ascii="Times New Roman" w:hAnsi="Times New Roman" w:cs="Times New Roman"/>
          <w:sz w:val="24"/>
          <w:szCs w:val="24"/>
        </w:rPr>
        <w:t>References</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Axapkina</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Ja</w:t>
      </w:r>
      <w:proofErr w:type="spellEnd"/>
      <w:r w:rsidRPr="003B4130">
        <w:rPr>
          <w:rFonts w:ascii="Times New Roman" w:hAnsi="Times New Roman" w:cs="Times New Roman"/>
          <w:sz w:val="24"/>
          <w:szCs w:val="24"/>
        </w:rPr>
        <w:t xml:space="preserve">. E., </w:t>
      </w:r>
      <w:proofErr w:type="spellStart"/>
      <w:r w:rsidRPr="003B4130">
        <w:rPr>
          <w:rFonts w:ascii="Times New Roman" w:hAnsi="Times New Roman" w:cs="Times New Roman"/>
          <w:sz w:val="24"/>
          <w:szCs w:val="24"/>
        </w:rPr>
        <w:t>Sosnovceva</w:t>
      </w:r>
      <w:proofErr w:type="spellEnd"/>
      <w:r w:rsidRPr="003B4130">
        <w:rPr>
          <w:rFonts w:ascii="Times New Roman" w:hAnsi="Times New Roman" w:cs="Times New Roman"/>
          <w:sz w:val="24"/>
          <w:szCs w:val="24"/>
        </w:rPr>
        <w:t xml:space="preserve"> E. G. </w:t>
      </w:r>
      <w:proofErr w:type="spellStart"/>
      <w:r w:rsidRPr="003B4130">
        <w:rPr>
          <w:rFonts w:ascii="Times New Roman" w:hAnsi="Times New Roman" w:cs="Times New Roman"/>
          <w:sz w:val="24"/>
          <w:szCs w:val="24"/>
        </w:rPr>
        <w:t>Korpus</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detskoj</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pis'mennoj</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reči</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StartWrit</w:t>
      </w:r>
      <w:proofErr w:type="spellEnd"/>
      <w:r w:rsidRPr="003B4130">
        <w:rPr>
          <w:rFonts w:ascii="Times New Roman" w:hAnsi="Times New Roman" w:cs="Times New Roman"/>
          <w:sz w:val="24"/>
          <w:szCs w:val="24"/>
        </w:rPr>
        <w:t xml:space="preserve"> // </w:t>
      </w:r>
      <w:proofErr w:type="spellStart"/>
      <w:r w:rsidRPr="003B4130">
        <w:rPr>
          <w:rFonts w:ascii="Times New Roman" w:hAnsi="Times New Roman" w:cs="Times New Roman"/>
          <w:sz w:val="24"/>
          <w:szCs w:val="24"/>
        </w:rPr>
        <w:t>Problemy</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ontolingvistiki</w:t>
      </w:r>
      <w:proofErr w:type="spellEnd"/>
      <w:r w:rsidRPr="003B4130">
        <w:rPr>
          <w:rFonts w:ascii="Times New Roman" w:hAnsi="Times New Roman" w:cs="Times New Roman"/>
          <w:sz w:val="24"/>
          <w:szCs w:val="24"/>
        </w:rPr>
        <w:t xml:space="preserve"> – 2017: </w:t>
      </w:r>
      <w:proofErr w:type="spellStart"/>
      <w:r w:rsidRPr="003B4130">
        <w:rPr>
          <w:rFonts w:ascii="Times New Roman" w:hAnsi="Times New Roman" w:cs="Times New Roman"/>
          <w:sz w:val="24"/>
          <w:szCs w:val="24"/>
        </w:rPr>
        <w:t>osvoenie</w:t>
      </w:r>
      <w:proofErr w:type="spellEnd"/>
      <w:r w:rsidRPr="003B4130">
        <w:rPr>
          <w:rFonts w:ascii="Times New Roman" w:hAnsi="Times New Roman" w:cs="Times New Roman"/>
          <w:sz w:val="24"/>
          <w:szCs w:val="24"/>
        </w:rPr>
        <w:t xml:space="preserve"> i </w:t>
      </w:r>
      <w:proofErr w:type="spellStart"/>
      <w:r w:rsidRPr="003B4130">
        <w:rPr>
          <w:rFonts w:ascii="Times New Roman" w:hAnsi="Times New Roman" w:cs="Times New Roman"/>
          <w:sz w:val="24"/>
          <w:szCs w:val="24"/>
        </w:rPr>
        <w:t>funkcionirovanie</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jazyka</w:t>
      </w:r>
      <w:proofErr w:type="spellEnd"/>
      <w:r w:rsidRPr="003B4130">
        <w:rPr>
          <w:rFonts w:ascii="Times New Roman" w:hAnsi="Times New Roman" w:cs="Times New Roman"/>
          <w:sz w:val="24"/>
          <w:szCs w:val="24"/>
        </w:rPr>
        <w:t xml:space="preserve"> v </w:t>
      </w:r>
      <w:proofErr w:type="spellStart"/>
      <w:r w:rsidRPr="003B4130">
        <w:rPr>
          <w:rFonts w:ascii="Times New Roman" w:hAnsi="Times New Roman" w:cs="Times New Roman"/>
          <w:sz w:val="24"/>
          <w:szCs w:val="24"/>
        </w:rPr>
        <w:t>situacii</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mnogojazyčija</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Materialy</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ežegodnoj</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meždunarodnoj</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naučnoj</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konferencii</w:t>
      </w:r>
      <w:proofErr w:type="spellEnd"/>
      <w:r w:rsidRPr="003B4130">
        <w:rPr>
          <w:rFonts w:ascii="Times New Roman" w:hAnsi="Times New Roman" w:cs="Times New Roman"/>
          <w:sz w:val="24"/>
          <w:szCs w:val="24"/>
        </w:rPr>
        <w:t xml:space="preserve">. 26-28.06.17.  </w:t>
      </w:r>
      <w:proofErr w:type="spellStart"/>
      <w:r w:rsidRPr="003B4130">
        <w:rPr>
          <w:rFonts w:ascii="Times New Roman" w:hAnsi="Times New Roman" w:cs="Times New Roman"/>
          <w:sz w:val="24"/>
          <w:szCs w:val="24"/>
        </w:rPr>
        <w:t>Red</w:t>
      </w:r>
      <w:proofErr w:type="spellEnd"/>
      <w:r w:rsidRPr="003B4130">
        <w:rPr>
          <w:rFonts w:ascii="Times New Roman" w:hAnsi="Times New Roman" w:cs="Times New Roman"/>
          <w:sz w:val="24"/>
          <w:szCs w:val="24"/>
        </w:rPr>
        <w:t xml:space="preserve">. T.A. </w:t>
      </w:r>
      <w:proofErr w:type="spellStart"/>
      <w:r w:rsidRPr="003B4130">
        <w:rPr>
          <w:rFonts w:ascii="Times New Roman" w:hAnsi="Times New Roman" w:cs="Times New Roman"/>
          <w:sz w:val="24"/>
          <w:szCs w:val="24"/>
        </w:rPr>
        <w:t>Krugljakova</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Ivanovo</w:t>
      </w:r>
      <w:proofErr w:type="spellEnd"/>
      <w:r w:rsidRPr="003B4130">
        <w:rPr>
          <w:rFonts w:ascii="Times New Roman" w:hAnsi="Times New Roman" w:cs="Times New Roman"/>
          <w:sz w:val="24"/>
          <w:szCs w:val="24"/>
        </w:rPr>
        <w:t xml:space="preserve">: LISTOS, 2017. S. 171-175. </w:t>
      </w:r>
      <w:proofErr w:type="spellStart"/>
      <w:r w:rsidRPr="003B4130">
        <w:rPr>
          <w:rFonts w:ascii="Times New Roman" w:hAnsi="Times New Roman" w:cs="Times New Roman"/>
          <w:sz w:val="24"/>
          <w:szCs w:val="24"/>
        </w:rPr>
        <w:t>Pčelinceva</w:t>
      </w:r>
      <w:proofErr w:type="spellEnd"/>
      <w:r w:rsidRPr="003B4130">
        <w:rPr>
          <w:rFonts w:ascii="Times New Roman" w:hAnsi="Times New Roman" w:cs="Times New Roman"/>
          <w:sz w:val="24"/>
          <w:szCs w:val="24"/>
        </w:rPr>
        <w:t xml:space="preserve"> E. </w:t>
      </w:r>
      <w:proofErr w:type="spellStart"/>
      <w:r w:rsidRPr="003B4130">
        <w:rPr>
          <w:rFonts w:ascii="Times New Roman" w:hAnsi="Times New Roman" w:cs="Times New Roman"/>
          <w:sz w:val="24"/>
          <w:szCs w:val="24"/>
        </w:rPr>
        <w:t>Ot</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glagola</w:t>
      </w:r>
      <w:proofErr w:type="spellEnd"/>
      <w:r w:rsidRPr="003B4130">
        <w:rPr>
          <w:rFonts w:ascii="Times New Roman" w:hAnsi="Times New Roman" w:cs="Times New Roman"/>
          <w:sz w:val="24"/>
          <w:szCs w:val="24"/>
        </w:rPr>
        <w:t xml:space="preserve"> k </w:t>
      </w:r>
      <w:proofErr w:type="spellStart"/>
      <w:r w:rsidRPr="003B4130">
        <w:rPr>
          <w:rFonts w:ascii="Times New Roman" w:hAnsi="Times New Roman" w:cs="Times New Roman"/>
          <w:sz w:val="24"/>
          <w:szCs w:val="24"/>
        </w:rPr>
        <w:t>imeni</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aspektual'nost</w:t>
      </w:r>
      <w:proofErr w:type="spellEnd"/>
      <w:r w:rsidRPr="003B4130">
        <w:rPr>
          <w:rFonts w:ascii="Times New Roman" w:hAnsi="Times New Roman" w:cs="Times New Roman"/>
          <w:sz w:val="24"/>
          <w:szCs w:val="24"/>
        </w:rPr>
        <w:t xml:space="preserve">' v </w:t>
      </w:r>
      <w:proofErr w:type="spellStart"/>
      <w:r w:rsidRPr="003B4130">
        <w:rPr>
          <w:rFonts w:ascii="Times New Roman" w:hAnsi="Times New Roman" w:cs="Times New Roman"/>
          <w:sz w:val="24"/>
          <w:szCs w:val="24"/>
        </w:rPr>
        <w:t>russkix</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ukrainski</w:t>
      </w:r>
      <w:proofErr w:type="gramStart"/>
      <w:r w:rsidRPr="003B4130">
        <w:rPr>
          <w:rFonts w:ascii="Times New Roman" w:hAnsi="Times New Roman" w:cs="Times New Roman"/>
          <w:sz w:val="24"/>
          <w:szCs w:val="24"/>
        </w:rPr>
        <w:t>х</w:t>
      </w:r>
      <w:proofErr w:type="spellEnd"/>
      <w:proofErr w:type="gramEnd"/>
      <w:r w:rsidRPr="003B4130">
        <w:rPr>
          <w:rFonts w:ascii="Times New Roman" w:hAnsi="Times New Roman" w:cs="Times New Roman"/>
          <w:sz w:val="24"/>
          <w:szCs w:val="24"/>
        </w:rPr>
        <w:t xml:space="preserve"> i </w:t>
      </w:r>
      <w:proofErr w:type="spellStart"/>
      <w:r w:rsidRPr="003B4130">
        <w:rPr>
          <w:rFonts w:ascii="Times New Roman" w:hAnsi="Times New Roman" w:cs="Times New Roman"/>
          <w:sz w:val="24"/>
          <w:szCs w:val="24"/>
        </w:rPr>
        <w:t>pol'skiх</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imenaх</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dejstvija</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monografija</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SPb</w:t>
      </w:r>
      <w:proofErr w:type="spellEnd"/>
      <w:r w:rsidRPr="003B4130">
        <w:rPr>
          <w:rFonts w:ascii="Times New Roman" w:hAnsi="Times New Roman" w:cs="Times New Roman"/>
          <w:sz w:val="24"/>
          <w:szCs w:val="24"/>
        </w:rPr>
        <w:t xml:space="preserve">.: </w:t>
      </w:r>
      <w:proofErr w:type="spellStart"/>
      <w:r w:rsidRPr="003B4130">
        <w:rPr>
          <w:rFonts w:ascii="Times New Roman" w:hAnsi="Times New Roman" w:cs="Times New Roman"/>
          <w:sz w:val="24"/>
          <w:szCs w:val="24"/>
        </w:rPr>
        <w:t>Nauka</w:t>
      </w:r>
      <w:proofErr w:type="spellEnd"/>
      <w:r w:rsidRPr="003B4130">
        <w:rPr>
          <w:rFonts w:ascii="Times New Roman" w:hAnsi="Times New Roman" w:cs="Times New Roman"/>
          <w:sz w:val="24"/>
          <w:szCs w:val="24"/>
        </w:rPr>
        <w:t xml:space="preserve">, 2016.   </w:t>
      </w:r>
    </w:p>
    <w:sectPr w:rsidR="005A17D7" w:rsidRPr="003B4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30"/>
    <w:rsid w:val="003B4130"/>
    <w:rsid w:val="005A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1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2021-09-13T19:17:00Z</dcterms:created>
  <dcterms:modified xsi:type="dcterms:W3CDTF">2021-09-13T19:19:00Z</dcterms:modified>
</cp:coreProperties>
</file>