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F4C" w:rsidRPr="00CD4B1E" w:rsidRDefault="00707F4C" w:rsidP="00CD4B1E">
      <w:pPr>
        <w:spacing w:after="0" w:line="240" w:lineRule="auto"/>
        <w:ind w:firstLine="851"/>
        <w:jc w:val="center"/>
        <w:rPr>
          <w:rFonts w:ascii="Times New Roman" w:hAnsi="Times New Roman"/>
          <w:caps/>
          <w:sz w:val="24"/>
          <w:szCs w:val="24"/>
        </w:rPr>
      </w:pPr>
      <w:r w:rsidRPr="00CD4B1E">
        <w:rPr>
          <w:rFonts w:ascii="Times New Roman" w:hAnsi="Times New Roman"/>
          <w:caps/>
          <w:sz w:val="24"/>
          <w:szCs w:val="24"/>
        </w:rPr>
        <w:t>Використання цільових функцій-замісників в оптимальному сурогатному синтезі вихростумових перетворювачів</w:t>
      </w:r>
    </w:p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caps/>
          <w:sz w:val="24"/>
          <w:szCs w:val="24"/>
        </w:rPr>
      </w:pPr>
    </w:p>
    <w:p w:rsidR="00707F4C" w:rsidRPr="00CD4B1E" w:rsidRDefault="00707F4C" w:rsidP="00CD4B1E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 w:rsidRPr="00CD4B1E">
        <w:rPr>
          <w:rFonts w:ascii="Times New Roman" w:hAnsi="Times New Roman"/>
          <w:sz w:val="24"/>
          <w:szCs w:val="24"/>
        </w:rPr>
        <w:t>В.Я. ГАЛЬЧЕНКО, Р.В. ТРЕМБОВЕЦЬКА, В.В.ТИЧКОВ</w:t>
      </w:r>
    </w:p>
    <w:p w:rsidR="00707F4C" w:rsidRPr="00CD4B1E" w:rsidRDefault="00707F4C" w:rsidP="00CD4B1E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 w:rsidRPr="00CD4B1E">
        <w:rPr>
          <w:rFonts w:ascii="Times New Roman" w:hAnsi="Times New Roman"/>
          <w:sz w:val="24"/>
          <w:szCs w:val="24"/>
        </w:rPr>
        <w:t>Черкаський державний технологічний університет</w:t>
      </w:r>
    </w:p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caps/>
          <w:sz w:val="24"/>
          <w:szCs w:val="24"/>
        </w:rPr>
      </w:pPr>
    </w:p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D4B1E">
        <w:rPr>
          <w:rFonts w:ascii="Times New Roman" w:hAnsi="Times New Roman"/>
          <w:sz w:val="24"/>
          <w:szCs w:val="24"/>
          <w:shd w:val="clear" w:color="auto" w:fill="FFFFFF"/>
        </w:rPr>
        <w:t>Як відомо, вихрострумовим перетворювачам (ВСП) притаманний характерний розподіл щільності вихрових струмів (ЩВС) в об’єкті контролю (ОК), який залежить від геометричних, електромагнітних параметрів та взаємного розташування збуджуючої котушки відносно контрольованої поверхні. В класичних конструкціях ВСП щільність вихрових струмів максимальна в поверхневому шарі струмопровідного об’єкту та зменшується при віддаленні від витків котушки збудження вздовж поверхні і в більш глибоких шарах за експоненційним законом. Для того, щоб зменшити залежність чутливості перетворювача до дефекту незалежно від його розташування в зоні контролю бажано щоб розподіл ЩВС в ній був однорідним. Виникає задача оптимального синтезу ВСП, які характеризуються в ідеалі оптимальною структурою та параметрами, що забезпечують однорідний розподіл ЩВС.</w:t>
      </w:r>
    </w:p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D4B1E">
        <w:rPr>
          <w:rFonts w:ascii="Times New Roman" w:hAnsi="Times New Roman"/>
          <w:sz w:val="24"/>
          <w:szCs w:val="24"/>
          <w:shd w:val="clear" w:color="auto" w:fill="FFFFFF"/>
        </w:rPr>
        <w:t xml:space="preserve">Структура збудження складається із системи котушок із різноманітним розташуванням відносно ОК, що визначається висотою </w:t>
      </w:r>
      <w:r w:rsidRPr="00CD4B1E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z</w:t>
      </w:r>
      <w:r w:rsidRPr="00CD4B1E">
        <w:rPr>
          <w:rFonts w:ascii="Times New Roman" w:hAnsi="Times New Roman"/>
          <w:i/>
          <w:iCs/>
          <w:sz w:val="24"/>
          <w:szCs w:val="24"/>
          <w:shd w:val="clear" w:color="auto" w:fill="FFFFFF"/>
          <w:vertAlign w:val="subscript"/>
        </w:rPr>
        <w:t>0</w:t>
      </w:r>
      <w:r w:rsidRPr="00CD4B1E">
        <w:rPr>
          <w:rFonts w:ascii="Times New Roman" w:hAnsi="Times New Roman"/>
          <w:sz w:val="24"/>
          <w:szCs w:val="24"/>
          <w:shd w:val="clear" w:color="auto" w:fill="FFFFFF"/>
        </w:rPr>
        <w:t xml:space="preserve"> відповідної котушки та геометричними параметрами </w:t>
      </w:r>
      <w:r w:rsidRPr="00CD4B1E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r</w:t>
      </w:r>
      <w:r w:rsidRPr="00CD4B1E">
        <w:rPr>
          <w:rFonts w:ascii="Times New Roman" w:hAnsi="Times New Roman"/>
          <w:i/>
          <w:iCs/>
          <w:sz w:val="24"/>
          <w:szCs w:val="24"/>
          <w:shd w:val="clear" w:color="auto" w:fill="FFFFFF"/>
          <w:vertAlign w:val="subscript"/>
        </w:rPr>
        <w:t>1</w:t>
      </w:r>
      <w:r w:rsidRPr="00CD4B1E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, r</w:t>
      </w:r>
      <w:r w:rsidRPr="00CD4B1E">
        <w:rPr>
          <w:rFonts w:ascii="Times New Roman" w:hAnsi="Times New Roman"/>
          <w:i/>
          <w:iCs/>
          <w:sz w:val="24"/>
          <w:szCs w:val="24"/>
          <w:shd w:val="clear" w:color="auto" w:fill="FFFFFF"/>
          <w:vertAlign w:val="subscript"/>
        </w:rPr>
        <w:t>2</w:t>
      </w:r>
      <w:r w:rsidRPr="00CD4B1E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, r</w:t>
      </w:r>
      <w:r w:rsidRPr="00CD4B1E">
        <w:rPr>
          <w:rFonts w:ascii="Times New Roman" w:hAnsi="Times New Roman"/>
          <w:i/>
          <w:iCs/>
          <w:sz w:val="24"/>
          <w:szCs w:val="24"/>
          <w:shd w:val="clear" w:color="auto" w:fill="FFFFFF"/>
          <w:vertAlign w:val="subscript"/>
        </w:rPr>
        <w:t>3</w:t>
      </w:r>
      <w:r w:rsidRPr="00CD4B1E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, r</w:t>
      </w:r>
      <w:r w:rsidRPr="00CD4B1E">
        <w:rPr>
          <w:rFonts w:ascii="Times New Roman" w:hAnsi="Times New Roman"/>
          <w:i/>
          <w:iCs/>
          <w:sz w:val="24"/>
          <w:szCs w:val="24"/>
          <w:shd w:val="clear" w:color="auto" w:fill="FFFFFF"/>
          <w:vertAlign w:val="subscript"/>
        </w:rPr>
        <w:t>4</w:t>
      </w:r>
      <w:r w:rsidRPr="00CD4B1E">
        <w:rPr>
          <w:rFonts w:ascii="Times New Roman" w:hAnsi="Times New Roman"/>
          <w:sz w:val="24"/>
          <w:szCs w:val="24"/>
          <w:shd w:val="clear" w:color="auto" w:fill="FFFFFF"/>
        </w:rPr>
        <w:t xml:space="preserve">,…, струмом живлення </w:t>
      </w:r>
      <w:r w:rsidRPr="00CD4B1E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I</w:t>
      </w:r>
      <w:r w:rsidRPr="00CD4B1E">
        <w:rPr>
          <w:rFonts w:ascii="Times New Roman" w:hAnsi="Times New Roman"/>
          <w:sz w:val="24"/>
          <w:szCs w:val="24"/>
          <w:shd w:val="clear" w:color="auto" w:fill="FFFFFF"/>
        </w:rPr>
        <w:t xml:space="preserve">, який може бути як однаковим так і різним для кожної із котушок, а також схемою їх включення – зустрічною або узгодженою по полю. Як один із варіантів структури збудження на (рис.1 а) показана система з двох котушок із різними радіусами, що розташована на висоті </w:t>
      </w:r>
      <w:r w:rsidRPr="00CD4B1E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z</w:t>
      </w:r>
      <w:r w:rsidRPr="00CD4B1E">
        <w:rPr>
          <w:rFonts w:ascii="Times New Roman" w:hAnsi="Times New Roman"/>
          <w:i/>
          <w:iCs/>
          <w:sz w:val="24"/>
          <w:szCs w:val="24"/>
          <w:shd w:val="clear" w:color="auto" w:fill="FFFFFF"/>
          <w:vertAlign w:val="subscript"/>
        </w:rPr>
        <w:t>0</w:t>
      </w:r>
      <w:r w:rsidRPr="00CD4B1E">
        <w:rPr>
          <w:rFonts w:ascii="Times New Roman" w:hAnsi="Times New Roman"/>
          <w:sz w:val="24"/>
          <w:szCs w:val="24"/>
          <w:shd w:val="clear" w:color="auto" w:fill="FFFFFF"/>
        </w:rPr>
        <w:t xml:space="preserve"> над ОК; струм живлення для кожної котушки різний </w:t>
      </w:r>
      <w:r w:rsidRPr="00CD4B1E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I</w:t>
      </w:r>
      <w:r w:rsidRPr="00CD4B1E">
        <w:rPr>
          <w:rFonts w:ascii="Times New Roman" w:hAnsi="Times New Roman"/>
          <w:i/>
          <w:iCs/>
          <w:sz w:val="24"/>
          <w:szCs w:val="24"/>
          <w:shd w:val="clear" w:color="auto" w:fill="FFFFFF"/>
          <w:vertAlign w:val="subscript"/>
        </w:rPr>
        <w:t>1</w:t>
      </w:r>
      <w:r w:rsidRPr="00CD4B1E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sym w:font="Symbol" w:char="F0B9"/>
      </w:r>
      <w:r w:rsidRPr="00CD4B1E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I</w:t>
      </w:r>
      <w:r w:rsidRPr="00CD4B1E">
        <w:rPr>
          <w:rFonts w:ascii="Times New Roman" w:hAnsi="Times New Roman"/>
          <w:i/>
          <w:iCs/>
          <w:sz w:val="24"/>
          <w:szCs w:val="24"/>
          <w:shd w:val="clear" w:color="auto" w:fill="FFFFFF"/>
          <w:vertAlign w:val="subscript"/>
        </w:rPr>
        <w:t>2</w:t>
      </w:r>
      <w:r w:rsidRPr="00CD4B1E">
        <w:rPr>
          <w:rFonts w:ascii="Times New Roman" w:hAnsi="Times New Roman"/>
          <w:sz w:val="24"/>
          <w:szCs w:val="24"/>
          <w:shd w:val="clear" w:color="auto" w:fill="FFFFFF"/>
        </w:rPr>
        <w:t xml:space="preserve">, які включені узгоджено. На (рис.1 б) показана система збудження із 4 котушок із різними радіусами, по дві із яких розташовані на однаковій висоті </w:t>
      </w:r>
      <w:r w:rsidRPr="00CD4B1E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z</w:t>
      </w:r>
      <w:r w:rsidRPr="00CD4B1E">
        <w:rPr>
          <w:rFonts w:ascii="Times New Roman" w:hAnsi="Times New Roman"/>
          <w:i/>
          <w:iCs/>
          <w:sz w:val="24"/>
          <w:szCs w:val="24"/>
          <w:shd w:val="clear" w:color="auto" w:fill="FFFFFF"/>
          <w:vertAlign w:val="subscript"/>
        </w:rPr>
        <w:t>1</w:t>
      </w:r>
      <w:r w:rsidRPr="00CD4B1E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=z</w:t>
      </w:r>
      <w:r w:rsidRPr="00CD4B1E">
        <w:rPr>
          <w:rFonts w:ascii="Times New Roman" w:hAnsi="Times New Roman"/>
          <w:i/>
          <w:iCs/>
          <w:sz w:val="24"/>
          <w:szCs w:val="24"/>
          <w:shd w:val="clear" w:color="auto" w:fill="FFFFFF"/>
          <w:vertAlign w:val="subscript"/>
        </w:rPr>
        <w:t>2</w:t>
      </w:r>
      <w:r w:rsidRPr="00CD4B1E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Pr="00CD4B1E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z</w:t>
      </w:r>
      <w:r w:rsidRPr="00CD4B1E">
        <w:rPr>
          <w:rFonts w:ascii="Times New Roman" w:hAnsi="Times New Roman"/>
          <w:i/>
          <w:iCs/>
          <w:sz w:val="24"/>
          <w:szCs w:val="24"/>
          <w:shd w:val="clear" w:color="auto" w:fill="FFFFFF"/>
          <w:vertAlign w:val="subscript"/>
        </w:rPr>
        <w:t>3</w:t>
      </w:r>
      <w:r w:rsidRPr="00CD4B1E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=z</w:t>
      </w:r>
      <w:r w:rsidRPr="00CD4B1E">
        <w:rPr>
          <w:rFonts w:ascii="Times New Roman" w:hAnsi="Times New Roman"/>
          <w:i/>
          <w:iCs/>
          <w:sz w:val="24"/>
          <w:szCs w:val="24"/>
          <w:shd w:val="clear" w:color="auto" w:fill="FFFFFF"/>
          <w:vertAlign w:val="subscript"/>
        </w:rPr>
        <w:t>4</w:t>
      </w:r>
      <w:r w:rsidRPr="00CD4B1E">
        <w:rPr>
          <w:rFonts w:ascii="Times New Roman" w:hAnsi="Times New Roman"/>
          <w:sz w:val="24"/>
          <w:szCs w:val="24"/>
          <w:shd w:val="clear" w:color="auto" w:fill="FFFFFF"/>
        </w:rPr>
        <w:t>; при цьому всі котушки мають однакове значення сили струму та включені як узгоджено так і зустрічно.</w:t>
      </w:r>
    </w:p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tbl>
      <w:tblPr>
        <w:tblW w:w="0" w:type="auto"/>
        <w:jc w:val="center"/>
        <w:tblLook w:val="00A0"/>
      </w:tblPr>
      <w:tblGrid>
        <w:gridCol w:w="4673"/>
        <w:gridCol w:w="4678"/>
      </w:tblGrid>
      <w:tr w:rsidR="00707F4C" w:rsidRPr="00CD4B1E" w:rsidTr="002D60A9">
        <w:trPr>
          <w:trHeight w:val="1862"/>
          <w:jc w:val="center"/>
        </w:trPr>
        <w:tc>
          <w:tcPr>
            <w:tcW w:w="4673" w:type="dxa"/>
          </w:tcPr>
          <w:p w:rsidR="00707F4C" w:rsidRPr="00CD4B1E" w:rsidRDefault="00707F4C" w:rsidP="00CD4B1E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264B74">
              <w:rPr>
                <w:rFonts w:ascii="Times New Roman" w:hAnsi="Times New Roman"/>
                <w:caps/>
                <w:noProof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7" o:spid="_x0000_i1025" type="#_x0000_t75" style="width:143.25pt;height:170.25pt;visibility:visible">
                  <v:imagedata r:id="rId7" o:title="" cropleft="3856f" cropright="8762f"/>
                </v:shape>
              </w:pict>
            </w:r>
          </w:p>
          <w:p w:rsidR="00707F4C" w:rsidRPr="00CD4B1E" w:rsidRDefault="00707F4C" w:rsidP="00CD4B1E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D4B1E">
              <w:rPr>
                <w:rFonts w:ascii="Times New Roman" w:hAnsi="Times New Roman"/>
                <w:sz w:val="24"/>
                <w:szCs w:val="24"/>
              </w:rPr>
              <w:t>а</w:t>
            </w:r>
            <w:r w:rsidRPr="00CD4B1E">
              <w:rPr>
                <w:rFonts w:ascii="Times New Roman" w:hAnsi="Times New Roman"/>
                <w:caps/>
                <w:sz w:val="24"/>
                <w:szCs w:val="24"/>
              </w:rPr>
              <w:t>)</w:t>
            </w:r>
          </w:p>
        </w:tc>
        <w:tc>
          <w:tcPr>
            <w:tcW w:w="4678" w:type="dxa"/>
          </w:tcPr>
          <w:p w:rsidR="00707F4C" w:rsidRPr="00CD4B1E" w:rsidRDefault="00707F4C" w:rsidP="00CD4B1E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264B74">
              <w:rPr>
                <w:rFonts w:ascii="Times New Roman" w:hAnsi="Times New Roman"/>
                <w:caps/>
                <w:noProof/>
                <w:sz w:val="24"/>
                <w:szCs w:val="24"/>
                <w:lang w:eastAsia="ru-RU"/>
              </w:rPr>
              <w:pict>
                <v:shape id="Рисунок 9" o:spid="_x0000_i1026" type="#_x0000_t75" style="width:184.5pt;height:170.25pt;visibility:visible">
                  <v:imagedata r:id="rId8" o:title=""/>
                </v:shape>
              </w:pict>
            </w:r>
          </w:p>
          <w:p w:rsidR="00707F4C" w:rsidRPr="00CD4B1E" w:rsidRDefault="00707F4C" w:rsidP="00CD4B1E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D4B1E">
              <w:rPr>
                <w:rFonts w:ascii="Times New Roman" w:hAnsi="Times New Roman"/>
                <w:sz w:val="24"/>
                <w:szCs w:val="24"/>
              </w:rPr>
              <w:t>б</w:t>
            </w:r>
            <w:r w:rsidRPr="00CD4B1E">
              <w:rPr>
                <w:rFonts w:ascii="Times New Roman" w:hAnsi="Times New Roman"/>
                <w:caps/>
                <w:sz w:val="24"/>
                <w:szCs w:val="24"/>
              </w:rPr>
              <w:t>)</w:t>
            </w:r>
          </w:p>
        </w:tc>
      </w:tr>
    </w:tbl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D4B1E">
        <w:rPr>
          <w:rFonts w:ascii="Times New Roman" w:hAnsi="Times New Roman"/>
          <w:sz w:val="24"/>
          <w:szCs w:val="24"/>
          <w:shd w:val="clear" w:color="auto" w:fill="FFFFFF"/>
        </w:rPr>
        <w:t>Рис.1 – Приклади структури збудження ВСП: а) дві котушки; б) чотири котушки</w:t>
      </w:r>
    </w:p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D4B1E">
        <w:rPr>
          <w:rFonts w:ascii="Times New Roman" w:hAnsi="Times New Roman"/>
          <w:sz w:val="24"/>
          <w:szCs w:val="24"/>
          <w:shd w:val="clear" w:color="auto" w:fill="FFFFFF"/>
        </w:rPr>
        <w:t>Таким чином, в загальному випадку цільова функція для задачі оптимального синтезу буде мати наступний вигляд:</w:t>
      </w:r>
    </w:p>
    <w:p w:rsidR="00707F4C" w:rsidRPr="00CD4B1E" w:rsidRDefault="00707F4C" w:rsidP="00CD4B1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D4B1E">
        <w:rPr>
          <w:rFonts w:ascii="Times New Roman" w:hAnsi="Times New Roman"/>
          <w:position w:val="-28"/>
          <w:sz w:val="24"/>
          <w:szCs w:val="24"/>
        </w:rPr>
        <w:object w:dxaOrig="3100" w:dyaOrig="720">
          <v:shape id="_x0000_i1027" type="#_x0000_t75" style="width:155.25pt;height:36pt" o:ole="">
            <v:imagedata r:id="rId9" o:title=""/>
          </v:shape>
          <o:OLEObject Type="Embed" ProgID="Equation.3" ShapeID="_x0000_i1027" DrawAspect="Content" ObjectID="_1591463136" r:id="rId10"/>
        </w:object>
      </w:r>
      <w:r w:rsidRPr="00CD4B1E">
        <w:rPr>
          <w:rFonts w:ascii="Times New Roman" w:hAnsi="Times New Roman"/>
          <w:sz w:val="24"/>
          <w:szCs w:val="24"/>
        </w:rPr>
        <w:t>,</w:t>
      </w:r>
      <w:r w:rsidRPr="00CD4B1E">
        <w:rPr>
          <w:rFonts w:ascii="Times New Roman" w:hAnsi="Times New Roman"/>
          <w:sz w:val="24"/>
          <w:szCs w:val="24"/>
        </w:rPr>
        <w:tab/>
      </w:r>
      <w:r w:rsidRPr="00CD4B1E">
        <w:rPr>
          <w:rFonts w:ascii="Times New Roman" w:hAnsi="Times New Roman"/>
          <w:sz w:val="24"/>
          <w:szCs w:val="24"/>
        </w:rPr>
        <w:tab/>
      </w:r>
      <w:r w:rsidRPr="00CD4B1E">
        <w:rPr>
          <w:rFonts w:ascii="Times New Roman" w:hAnsi="Times New Roman"/>
          <w:sz w:val="24"/>
          <w:szCs w:val="24"/>
        </w:rPr>
        <w:tab/>
      </w:r>
      <w:r w:rsidRPr="00CD4B1E">
        <w:rPr>
          <w:rFonts w:ascii="Times New Roman" w:hAnsi="Times New Roman"/>
          <w:sz w:val="24"/>
          <w:szCs w:val="24"/>
        </w:rPr>
        <w:tab/>
        <w:t xml:space="preserve"> (1)</w:t>
      </w:r>
    </w:p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D4B1E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J</w:t>
      </w:r>
      <w:r w:rsidRPr="00CD4B1E">
        <w:rPr>
          <w:rFonts w:ascii="Times New Roman" w:hAnsi="Times New Roman"/>
          <w:sz w:val="24"/>
          <w:szCs w:val="24"/>
          <w:shd w:val="clear" w:color="auto" w:fill="FFFFFF"/>
        </w:rPr>
        <w:t xml:space="preserve"> - розподіл ЩВС у контрольних точках ОК, створений котушкою збудження;</w:t>
      </w:r>
    </w:p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D4B1E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J</w:t>
      </w:r>
      <w:r w:rsidRPr="00CD4B1E">
        <w:rPr>
          <w:rFonts w:ascii="Times New Roman" w:hAnsi="Times New Roman"/>
          <w:i/>
          <w:iCs/>
          <w:sz w:val="24"/>
          <w:szCs w:val="24"/>
          <w:shd w:val="clear" w:color="auto" w:fill="FFFFFF"/>
          <w:vertAlign w:val="subscript"/>
        </w:rPr>
        <w:t>reference</w:t>
      </w:r>
      <w:r w:rsidRPr="00CD4B1E">
        <w:rPr>
          <w:rFonts w:ascii="Times New Roman" w:hAnsi="Times New Roman"/>
          <w:sz w:val="24"/>
          <w:szCs w:val="24"/>
          <w:shd w:val="clear" w:color="auto" w:fill="FFFFFF"/>
        </w:rPr>
        <w:t xml:space="preserve"> - бажаний однорідний розподіл ЩВС в тих самих точках;</w:t>
      </w:r>
    </w:p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D4B1E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N</w:t>
      </w:r>
      <w:r w:rsidRPr="00CD4B1E">
        <w:rPr>
          <w:rFonts w:ascii="Times New Roman" w:hAnsi="Times New Roman"/>
          <w:sz w:val="24"/>
          <w:szCs w:val="24"/>
          <w:shd w:val="clear" w:color="auto" w:fill="FFFFFF"/>
        </w:rPr>
        <w:t xml:space="preserve"> - кількість контрольних точок в зоні.</w:t>
      </w:r>
    </w:p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D4B1E">
        <w:rPr>
          <w:rFonts w:ascii="Times New Roman" w:hAnsi="Times New Roman"/>
          <w:sz w:val="24"/>
          <w:szCs w:val="24"/>
        </w:rPr>
        <w:t xml:space="preserve">Цілком зрозуміло, що задача оптимального синтезу буде багатопараметрична, наприклад, для випадків </w:t>
      </w:r>
      <w:r w:rsidRPr="00CD4B1E">
        <w:rPr>
          <w:rFonts w:ascii="Times New Roman" w:hAnsi="Times New Roman"/>
          <w:i/>
          <w:iCs/>
          <w:sz w:val="24"/>
          <w:szCs w:val="24"/>
        </w:rPr>
        <w:t>J=f(x, y, r)</w:t>
      </w:r>
      <w:r w:rsidRPr="00CD4B1E">
        <w:rPr>
          <w:rFonts w:ascii="Times New Roman" w:hAnsi="Times New Roman"/>
          <w:sz w:val="24"/>
          <w:szCs w:val="24"/>
        </w:rPr>
        <w:t xml:space="preserve"> (рис.1 а) або </w:t>
      </w:r>
      <w:r w:rsidRPr="00CD4B1E">
        <w:rPr>
          <w:rFonts w:ascii="Times New Roman" w:hAnsi="Times New Roman"/>
          <w:i/>
          <w:iCs/>
          <w:sz w:val="24"/>
          <w:szCs w:val="24"/>
        </w:rPr>
        <w:t>J=f(x, y, r, z)</w:t>
      </w:r>
      <w:r w:rsidRPr="00CD4B1E">
        <w:rPr>
          <w:rFonts w:ascii="Times New Roman" w:hAnsi="Times New Roman"/>
          <w:sz w:val="24"/>
          <w:szCs w:val="24"/>
        </w:rPr>
        <w:t xml:space="preserve"> (рис.1 б). </w:t>
      </w:r>
    </w:p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D4B1E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Мета роботи – </w:t>
      </w:r>
      <w:r w:rsidRPr="00CD4B1E">
        <w:rPr>
          <w:rFonts w:ascii="Times New Roman" w:hAnsi="Times New Roman"/>
          <w:sz w:val="24"/>
          <w:szCs w:val="24"/>
          <w:shd w:val="clear" w:color="auto" w:fill="FFFFFF"/>
        </w:rPr>
        <w:t xml:space="preserve">побудова </w:t>
      </w:r>
      <w:r w:rsidRPr="00CD4B1E">
        <w:rPr>
          <w:rFonts w:ascii="Times New Roman" w:hAnsi="Times New Roman"/>
          <w:sz w:val="24"/>
          <w:szCs w:val="24"/>
        </w:rPr>
        <w:t>метамоделей циліндричного вихрострумового перетворювача, що рухається відносно об’єкту контролю, придатної для використання в задачах оптимального синтезу ВСП.</w:t>
      </w:r>
    </w:p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D4B1E">
        <w:rPr>
          <w:rFonts w:ascii="Times New Roman" w:hAnsi="Times New Roman"/>
          <w:sz w:val="24"/>
          <w:szCs w:val="24"/>
          <w:shd w:val="clear" w:color="auto" w:fill="FFFFFF"/>
        </w:rPr>
        <w:t xml:space="preserve">Для досягнення поставленої задачі (1) необхідно багатократно вирішити задачу аналізу для структури котушок збудження, розраховуючи розподіл ЩВС в сукупності точок, що розташовані в контрольованій зоні на поверхні ОК. </w:t>
      </w:r>
      <w:r w:rsidRPr="00CD4B1E">
        <w:rPr>
          <w:rFonts w:ascii="Times New Roman" w:hAnsi="Times New Roman"/>
          <w:sz w:val="24"/>
          <w:szCs w:val="24"/>
        </w:rPr>
        <w:t>Дана задача достатньо складна в реалізації, оскільки вимагає значних затрат обчислювальних та часових ресурсів для проведення розрахунків розподілу ЩВС, як функції від сукупності параметрів, що містить декілька невласних інтегралів першого роду:</w:t>
      </w:r>
    </w:p>
    <w:p w:rsidR="00707F4C" w:rsidRPr="00CD4B1E" w:rsidRDefault="00707F4C" w:rsidP="00CD4B1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D4B1E">
        <w:rPr>
          <w:rFonts w:ascii="Times New Roman" w:hAnsi="Times New Roman"/>
          <w:sz w:val="24"/>
          <w:szCs w:val="24"/>
        </w:rPr>
        <w:object w:dxaOrig="1440" w:dyaOrig="420">
          <v:shape id="_x0000_i1028" type="#_x0000_t75" style="width:1in;height:21pt" o:ole="">
            <v:imagedata r:id="rId11" o:title=""/>
          </v:shape>
          <o:OLEObject Type="Embed" ProgID="Equation.3" ShapeID="_x0000_i1028" DrawAspect="Content" ObjectID="_1591463137" r:id="rId12"/>
        </w:object>
      </w:r>
      <w:r w:rsidRPr="00CD4B1E">
        <w:rPr>
          <w:rFonts w:ascii="Times New Roman" w:hAnsi="Times New Roman"/>
          <w:position w:val="-14"/>
          <w:sz w:val="24"/>
          <w:szCs w:val="24"/>
        </w:rPr>
        <w:object w:dxaOrig="3940" w:dyaOrig="380">
          <v:shape id="_x0000_i1029" type="#_x0000_t75" style="width:197.25pt;height:18.75pt" o:ole="">
            <v:imagedata r:id="rId13" o:title=""/>
          </v:shape>
          <o:OLEObject Type="Embed" ProgID="Equation.3" ShapeID="_x0000_i1029" DrawAspect="Content" ObjectID="_1591463138" r:id="rId14"/>
        </w:object>
      </w:r>
      <w:r w:rsidRPr="00CD4B1E">
        <w:rPr>
          <w:rFonts w:ascii="Times New Roman" w:hAnsi="Times New Roman"/>
          <w:sz w:val="24"/>
          <w:szCs w:val="24"/>
        </w:rPr>
        <w:t>,                                        (2)</w:t>
      </w:r>
    </w:p>
    <w:p w:rsidR="00707F4C" w:rsidRPr="00CD4B1E" w:rsidRDefault="00707F4C" w:rsidP="00CD4B1E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CD4B1E">
        <w:rPr>
          <w:rFonts w:ascii="Times New Roman" w:hAnsi="Times New Roman"/>
          <w:sz w:val="24"/>
          <w:szCs w:val="24"/>
        </w:rPr>
        <w:t xml:space="preserve">де </w:t>
      </w:r>
      <w:r w:rsidRPr="00CD4B1E">
        <w:rPr>
          <w:rFonts w:ascii="Times New Roman" w:hAnsi="Times New Roman"/>
          <w:i/>
          <w:iCs/>
          <w:sz w:val="24"/>
          <w:szCs w:val="24"/>
        </w:rPr>
        <w:t>x, y, z</w:t>
      </w:r>
      <w:r w:rsidRPr="00CD4B1E">
        <w:rPr>
          <w:rFonts w:ascii="Times New Roman" w:hAnsi="Times New Roman"/>
          <w:sz w:val="24"/>
          <w:szCs w:val="24"/>
        </w:rPr>
        <w:t xml:space="preserve">  - просторові координати;</w:t>
      </w:r>
    </w:p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D4B1E">
        <w:rPr>
          <w:rFonts w:ascii="Times New Roman" w:hAnsi="Times New Roman"/>
          <w:i/>
          <w:iCs/>
          <w:sz w:val="24"/>
          <w:szCs w:val="24"/>
        </w:rPr>
        <w:t>l</w:t>
      </w:r>
      <w:r w:rsidRPr="00CD4B1E">
        <w:rPr>
          <w:rFonts w:ascii="Times New Roman" w:hAnsi="Times New Roman"/>
          <w:i/>
          <w:iCs/>
          <w:sz w:val="24"/>
          <w:szCs w:val="24"/>
          <w:vertAlign w:val="subscript"/>
        </w:rPr>
        <w:t>1</w:t>
      </w:r>
      <w:r w:rsidRPr="00CD4B1E">
        <w:rPr>
          <w:rFonts w:ascii="Times New Roman" w:hAnsi="Times New Roman"/>
          <w:i/>
          <w:iCs/>
          <w:sz w:val="24"/>
          <w:szCs w:val="24"/>
        </w:rPr>
        <w:t>, l</w:t>
      </w:r>
      <w:r w:rsidRPr="00CD4B1E">
        <w:rPr>
          <w:rFonts w:ascii="Times New Roman" w:hAnsi="Times New Roman"/>
          <w:i/>
          <w:iCs/>
          <w:sz w:val="24"/>
          <w:szCs w:val="24"/>
          <w:vertAlign w:val="subscript"/>
        </w:rPr>
        <w:t>2</w:t>
      </w:r>
      <w:r w:rsidRPr="00CD4B1E">
        <w:rPr>
          <w:rFonts w:ascii="Times New Roman" w:hAnsi="Times New Roman"/>
          <w:sz w:val="24"/>
          <w:szCs w:val="24"/>
        </w:rPr>
        <w:t xml:space="preserve"> - висота розташування перетворювача над ОК (нижній та верхній край котушки відповідно);</w:t>
      </w:r>
    </w:p>
    <w:p w:rsidR="00707F4C" w:rsidRPr="00CD4B1E" w:rsidRDefault="00707F4C" w:rsidP="00CD4B1E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CD4B1E">
        <w:rPr>
          <w:rFonts w:ascii="Times New Roman" w:hAnsi="Times New Roman"/>
          <w:i/>
          <w:iCs/>
          <w:sz w:val="24"/>
          <w:szCs w:val="24"/>
        </w:rPr>
        <w:t>f, I</w:t>
      </w:r>
      <w:r w:rsidRPr="00CD4B1E">
        <w:rPr>
          <w:rFonts w:ascii="Times New Roman" w:hAnsi="Times New Roman"/>
          <w:sz w:val="24"/>
          <w:szCs w:val="24"/>
        </w:rPr>
        <w:t xml:space="preserve"> - частота та струм в котушці збудження;</w:t>
      </w:r>
    </w:p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D4B1E">
        <w:rPr>
          <w:rFonts w:ascii="Times New Roman" w:hAnsi="Times New Roman"/>
          <w:i/>
          <w:iCs/>
          <w:sz w:val="24"/>
          <w:szCs w:val="24"/>
        </w:rPr>
        <w:t>r</w:t>
      </w:r>
      <w:r w:rsidRPr="00CD4B1E">
        <w:rPr>
          <w:rFonts w:ascii="Times New Roman" w:hAnsi="Times New Roman"/>
          <w:i/>
          <w:iCs/>
          <w:sz w:val="24"/>
          <w:szCs w:val="24"/>
          <w:vertAlign w:val="subscript"/>
        </w:rPr>
        <w:t>1</w:t>
      </w:r>
      <w:r w:rsidRPr="00CD4B1E">
        <w:rPr>
          <w:rFonts w:ascii="Times New Roman" w:hAnsi="Times New Roman"/>
          <w:i/>
          <w:iCs/>
          <w:sz w:val="24"/>
          <w:szCs w:val="24"/>
        </w:rPr>
        <w:t>, r</w:t>
      </w:r>
      <w:r w:rsidRPr="00CD4B1E">
        <w:rPr>
          <w:rFonts w:ascii="Times New Roman" w:hAnsi="Times New Roman"/>
          <w:i/>
          <w:iCs/>
          <w:sz w:val="24"/>
          <w:szCs w:val="24"/>
          <w:vertAlign w:val="subscript"/>
        </w:rPr>
        <w:t>2</w:t>
      </w:r>
      <w:r w:rsidRPr="00CD4B1E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D4B1E">
        <w:rPr>
          <w:rFonts w:ascii="Times New Roman" w:hAnsi="Times New Roman"/>
          <w:sz w:val="24"/>
          <w:szCs w:val="24"/>
        </w:rPr>
        <w:t>- внутрішній та зовнішній радіуси котушки збудження;</w:t>
      </w:r>
    </w:p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D4B1E">
        <w:rPr>
          <w:rFonts w:ascii="Times New Roman" w:hAnsi="Times New Roman"/>
          <w:i/>
          <w:iCs/>
          <w:sz w:val="24"/>
          <w:szCs w:val="24"/>
        </w:rPr>
        <w:sym w:font="Symbol" w:char="F06D"/>
      </w:r>
      <w:r w:rsidRPr="00CD4B1E">
        <w:rPr>
          <w:rFonts w:ascii="Times New Roman" w:hAnsi="Times New Roman"/>
          <w:i/>
          <w:iCs/>
          <w:sz w:val="24"/>
          <w:szCs w:val="24"/>
          <w:vertAlign w:val="subscript"/>
        </w:rPr>
        <w:t>1</w:t>
      </w:r>
      <w:r w:rsidRPr="00CD4B1E">
        <w:rPr>
          <w:rFonts w:ascii="Times New Roman" w:hAnsi="Times New Roman"/>
          <w:i/>
          <w:iCs/>
          <w:sz w:val="24"/>
          <w:szCs w:val="24"/>
        </w:rPr>
        <w:t>, </w:t>
      </w:r>
      <w:r w:rsidRPr="00CD4B1E">
        <w:rPr>
          <w:rFonts w:ascii="Times New Roman" w:hAnsi="Times New Roman"/>
          <w:i/>
          <w:iCs/>
          <w:sz w:val="24"/>
          <w:szCs w:val="24"/>
        </w:rPr>
        <w:sym w:font="Symbol" w:char="F073"/>
      </w:r>
      <w:r w:rsidRPr="00CD4B1E">
        <w:rPr>
          <w:rFonts w:ascii="Times New Roman" w:hAnsi="Times New Roman"/>
          <w:i/>
          <w:iCs/>
          <w:sz w:val="24"/>
          <w:szCs w:val="24"/>
          <w:vertAlign w:val="subscript"/>
        </w:rPr>
        <w:t>1</w:t>
      </w:r>
      <w:r w:rsidRPr="00CD4B1E">
        <w:rPr>
          <w:rFonts w:ascii="Times New Roman" w:hAnsi="Times New Roman"/>
          <w:sz w:val="24"/>
          <w:szCs w:val="24"/>
        </w:rPr>
        <w:t xml:space="preserve"> - відносна магнітна проникливість та питома електрична провідність шару матеріалу; </w:t>
      </w:r>
    </w:p>
    <w:p w:rsidR="00707F4C" w:rsidRPr="00CD4B1E" w:rsidRDefault="00707F4C" w:rsidP="00CD4B1E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CD4B1E">
        <w:rPr>
          <w:rFonts w:ascii="Times New Roman" w:hAnsi="Times New Roman"/>
          <w:i/>
          <w:iCs/>
          <w:sz w:val="24"/>
          <w:szCs w:val="24"/>
        </w:rPr>
        <w:t>d</w:t>
      </w:r>
      <w:r w:rsidRPr="00CD4B1E">
        <w:rPr>
          <w:rFonts w:ascii="Times New Roman" w:hAnsi="Times New Roman"/>
          <w:sz w:val="24"/>
          <w:szCs w:val="24"/>
        </w:rPr>
        <w:t xml:space="preserve"> - загальна товщина ОК;</w:t>
      </w:r>
    </w:p>
    <w:p w:rsidR="00707F4C" w:rsidRPr="00CD4B1E" w:rsidRDefault="00707F4C" w:rsidP="00CD4B1E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CD4B1E">
        <w:rPr>
          <w:rFonts w:ascii="Times New Roman" w:hAnsi="Times New Roman"/>
          <w:i/>
          <w:iCs/>
          <w:sz w:val="24"/>
          <w:szCs w:val="24"/>
        </w:rPr>
        <w:sym w:font="Symbol" w:char="F075"/>
      </w:r>
      <w:r w:rsidRPr="00CD4B1E">
        <w:rPr>
          <w:rFonts w:ascii="Times New Roman" w:hAnsi="Times New Roman"/>
          <w:i/>
          <w:iCs/>
          <w:sz w:val="24"/>
          <w:szCs w:val="24"/>
          <w:vertAlign w:val="subscript"/>
        </w:rPr>
        <w:t>x</w:t>
      </w:r>
      <w:r w:rsidRPr="00CD4B1E">
        <w:rPr>
          <w:rFonts w:ascii="Times New Roman" w:hAnsi="Times New Roman"/>
          <w:i/>
          <w:iCs/>
          <w:sz w:val="24"/>
          <w:szCs w:val="24"/>
        </w:rPr>
        <w:t>, </w:t>
      </w:r>
      <w:r w:rsidRPr="00CD4B1E">
        <w:rPr>
          <w:rFonts w:ascii="Times New Roman" w:hAnsi="Times New Roman"/>
          <w:i/>
          <w:iCs/>
          <w:sz w:val="24"/>
          <w:szCs w:val="24"/>
        </w:rPr>
        <w:sym w:font="Symbol" w:char="F075"/>
      </w:r>
      <w:r w:rsidRPr="00CD4B1E">
        <w:rPr>
          <w:rFonts w:ascii="Times New Roman" w:hAnsi="Times New Roman"/>
          <w:i/>
          <w:iCs/>
          <w:sz w:val="24"/>
          <w:szCs w:val="24"/>
          <w:vertAlign w:val="subscript"/>
        </w:rPr>
        <w:t>y</w:t>
      </w:r>
      <w:r w:rsidRPr="00CD4B1E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D4B1E">
        <w:rPr>
          <w:rFonts w:ascii="Times New Roman" w:hAnsi="Times New Roman"/>
          <w:sz w:val="24"/>
          <w:szCs w:val="24"/>
        </w:rPr>
        <w:t xml:space="preserve">- складові швидкості руху ВСП відносно ОК по координатах </w:t>
      </w:r>
      <w:r w:rsidRPr="00CD4B1E">
        <w:rPr>
          <w:rFonts w:ascii="Times New Roman" w:hAnsi="Times New Roman"/>
          <w:i/>
          <w:iCs/>
          <w:sz w:val="24"/>
          <w:szCs w:val="24"/>
        </w:rPr>
        <w:t>x, y</w:t>
      </w:r>
      <w:r w:rsidRPr="00CD4B1E">
        <w:rPr>
          <w:rFonts w:ascii="Times New Roman" w:hAnsi="Times New Roman"/>
          <w:sz w:val="24"/>
          <w:szCs w:val="24"/>
        </w:rPr>
        <w:t>.</w:t>
      </w:r>
    </w:p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D4B1E">
        <w:rPr>
          <w:rFonts w:ascii="Times New Roman" w:hAnsi="Times New Roman"/>
          <w:sz w:val="24"/>
          <w:szCs w:val="24"/>
          <w:shd w:val="clear" w:color="auto" w:fill="FFFFFF"/>
        </w:rPr>
        <w:t xml:space="preserve">Математичну модель (2) залежності розподілу ЩВС від багатьох параметрів для конкретного типу системи збудження ВСП отримують із диференціальних рівнянь Максвела [1, 2]. </w:t>
      </w:r>
      <w:r w:rsidRPr="00CD4B1E">
        <w:rPr>
          <w:rFonts w:ascii="Times New Roman" w:hAnsi="Times New Roman"/>
          <w:sz w:val="24"/>
          <w:szCs w:val="24"/>
        </w:rPr>
        <w:t xml:space="preserve">На (рис.2 а) показана система збудження ВСП у вигляді котушки з прямокутним перетином, розміри якого визначаються лінійними розмірами </w:t>
      </w:r>
      <w:r w:rsidRPr="00CD4B1E">
        <w:rPr>
          <w:rFonts w:ascii="Times New Roman" w:hAnsi="Times New Roman"/>
          <w:i/>
          <w:sz w:val="24"/>
          <w:szCs w:val="24"/>
        </w:rPr>
        <w:t>l</w:t>
      </w:r>
      <w:r w:rsidRPr="00CD4B1E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CD4B1E">
        <w:rPr>
          <w:rFonts w:ascii="Times New Roman" w:hAnsi="Times New Roman"/>
          <w:sz w:val="24"/>
          <w:szCs w:val="24"/>
        </w:rPr>
        <w:t>, </w:t>
      </w:r>
      <w:r w:rsidRPr="00CD4B1E">
        <w:rPr>
          <w:rFonts w:ascii="Times New Roman" w:hAnsi="Times New Roman"/>
          <w:i/>
          <w:sz w:val="24"/>
          <w:szCs w:val="24"/>
        </w:rPr>
        <w:t>l</w:t>
      </w:r>
      <w:r w:rsidRPr="00CD4B1E">
        <w:rPr>
          <w:rFonts w:ascii="Times New Roman" w:hAnsi="Times New Roman"/>
          <w:i/>
          <w:sz w:val="24"/>
          <w:szCs w:val="24"/>
          <w:vertAlign w:val="subscript"/>
        </w:rPr>
        <w:t xml:space="preserve">2 </w:t>
      </w:r>
      <w:r w:rsidRPr="00CD4B1E">
        <w:rPr>
          <w:rFonts w:ascii="Times New Roman" w:hAnsi="Times New Roman"/>
          <w:i/>
          <w:sz w:val="24"/>
          <w:szCs w:val="24"/>
        </w:rPr>
        <w:t xml:space="preserve"> </w:t>
      </w:r>
      <w:r w:rsidRPr="00CD4B1E">
        <w:rPr>
          <w:rFonts w:ascii="Times New Roman" w:hAnsi="Times New Roman"/>
          <w:sz w:val="24"/>
          <w:szCs w:val="24"/>
        </w:rPr>
        <w:t xml:space="preserve">та відповідними радіусами зовнішнім </w:t>
      </w:r>
      <w:r w:rsidRPr="00CD4B1E">
        <w:rPr>
          <w:rFonts w:ascii="Times New Roman" w:hAnsi="Times New Roman"/>
          <w:i/>
          <w:sz w:val="24"/>
          <w:szCs w:val="24"/>
        </w:rPr>
        <w:t>r</w:t>
      </w:r>
      <w:r w:rsidRPr="00CD4B1E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Pr="00CD4B1E">
        <w:rPr>
          <w:rFonts w:ascii="Times New Roman" w:hAnsi="Times New Roman"/>
          <w:sz w:val="24"/>
          <w:szCs w:val="24"/>
        </w:rPr>
        <w:t xml:space="preserve"> і внутрішнім</w:t>
      </w:r>
      <w:r w:rsidRPr="00CD4B1E">
        <w:rPr>
          <w:rFonts w:ascii="Times New Roman" w:hAnsi="Times New Roman"/>
          <w:i/>
          <w:sz w:val="24"/>
          <w:szCs w:val="24"/>
        </w:rPr>
        <w:t xml:space="preserve"> r</w:t>
      </w:r>
      <w:r w:rsidRPr="00CD4B1E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CD4B1E">
        <w:rPr>
          <w:rFonts w:ascii="Times New Roman" w:hAnsi="Times New Roman"/>
          <w:sz w:val="24"/>
          <w:szCs w:val="24"/>
        </w:rPr>
        <w:t xml:space="preserve">. Об’єкт контролю: струмопровідний, нескінченного розміру у вигляді пластини товщиною </w:t>
      </w:r>
      <w:r w:rsidRPr="00CD4B1E">
        <w:rPr>
          <w:rFonts w:ascii="Times New Roman" w:hAnsi="Times New Roman"/>
          <w:i/>
          <w:sz w:val="24"/>
          <w:szCs w:val="24"/>
        </w:rPr>
        <w:t>d</w:t>
      </w:r>
      <w:r w:rsidRPr="00CD4B1E">
        <w:rPr>
          <w:rFonts w:ascii="Times New Roman" w:hAnsi="Times New Roman"/>
          <w:sz w:val="24"/>
          <w:szCs w:val="24"/>
        </w:rPr>
        <w:t xml:space="preserve"> з відповідними електрофізичними параметрами матеріалу </w:t>
      </w:r>
      <w:r w:rsidRPr="00CD4B1E">
        <w:rPr>
          <w:rFonts w:ascii="Times New Roman" w:hAnsi="Times New Roman"/>
          <w:i/>
          <w:sz w:val="24"/>
          <w:szCs w:val="24"/>
        </w:rPr>
        <w:sym w:font="Symbol" w:char="F073"/>
      </w:r>
      <w:r w:rsidRPr="00CD4B1E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CD4B1E">
        <w:rPr>
          <w:rFonts w:ascii="Times New Roman" w:hAnsi="Times New Roman"/>
          <w:i/>
          <w:sz w:val="24"/>
          <w:szCs w:val="24"/>
        </w:rPr>
        <w:t>, </w:t>
      </w:r>
      <w:r w:rsidRPr="00CD4B1E">
        <w:rPr>
          <w:rFonts w:ascii="Times New Roman" w:hAnsi="Times New Roman"/>
          <w:i/>
          <w:sz w:val="24"/>
          <w:szCs w:val="24"/>
          <w:lang w:eastAsia="ru-RU"/>
        </w:rPr>
        <w:t>µ</w:t>
      </w:r>
      <w:r w:rsidRPr="00CD4B1E">
        <w:rPr>
          <w:rFonts w:ascii="Times New Roman" w:hAnsi="Times New Roman"/>
          <w:i/>
          <w:sz w:val="24"/>
          <w:szCs w:val="24"/>
          <w:vertAlign w:val="subscript"/>
          <w:lang w:eastAsia="ru-RU"/>
        </w:rPr>
        <w:t>1</w:t>
      </w:r>
      <w:r w:rsidRPr="00CD4B1E">
        <w:rPr>
          <w:rFonts w:ascii="Times New Roman" w:hAnsi="Times New Roman"/>
          <w:i/>
          <w:sz w:val="24"/>
          <w:szCs w:val="24"/>
        </w:rPr>
        <w:t xml:space="preserve">. </w:t>
      </w:r>
      <w:r w:rsidRPr="00CD4B1E">
        <w:rPr>
          <w:rFonts w:ascii="Times New Roman" w:hAnsi="Times New Roman"/>
          <w:sz w:val="24"/>
          <w:szCs w:val="24"/>
        </w:rPr>
        <w:t xml:space="preserve">Котушка живиться змінним струмом </w:t>
      </w:r>
      <w:r w:rsidRPr="00CD4B1E">
        <w:rPr>
          <w:rFonts w:ascii="Times New Roman" w:hAnsi="Times New Roman"/>
          <w:i/>
          <w:sz w:val="24"/>
          <w:szCs w:val="24"/>
        </w:rPr>
        <w:t>І</w:t>
      </w:r>
      <w:r w:rsidRPr="00CD4B1E">
        <w:rPr>
          <w:rFonts w:ascii="Times New Roman" w:hAnsi="Times New Roman"/>
          <w:sz w:val="24"/>
          <w:szCs w:val="24"/>
        </w:rPr>
        <w:t xml:space="preserve"> частотою </w:t>
      </w:r>
      <w:r w:rsidRPr="00CD4B1E">
        <w:rPr>
          <w:rFonts w:ascii="Times New Roman" w:hAnsi="Times New Roman"/>
          <w:i/>
          <w:sz w:val="24"/>
          <w:szCs w:val="24"/>
        </w:rPr>
        <w:sym w:font="Symbol" w:char="F077"/>
      </w:r>
      <w:r w:rsidRPr="00CD4B1E">
        <w:rPr>
          <w:rFonts w:ascii="Times New Roman" w:hAnsi="Times New Roman"/>
          <w:sz w:val="24"/>
          <w:szCs w:val="24"/>
        </w:rPr>
        <w:t xml:space="preserve"> та розташована на висоті </w:t>
      </w:r>
      <w:r w:rsidRPr="00CD4B1E">
        <w:rPr>
          <w:rFonts w:ascii="Times New Roman" w:hAnsi="Times New Roman"/>
          <w:i/>
          <w:sz w:val="24"/>
          <w:szCs w:val="24"/>
        </w:rPr>
        <w:t>l</w:t>
      </w:r>
      <w:r w:rsidRPr="00CD4B1E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CD4B1E">
        <w:rPr>
          <w:rFonts w:ascii="Times New Roman" w:hAnsi="Times New Roman"/>
          <w:sz w:val="24"/>
          <w:szCs w:val="24"/>
        </w:rPr>
        <w:t xml:space="preserve"> над ОК. </w:t>
      </w:r>
      <w:r w:rsidRPr="00CD4B1E">
        <w:rPr>
          <w:rFonts w:ascii="Times New Roman" w:hAnsi="Times New Roman"/>
          <w:sz w:val="24"/>
          <w:szCs w:val="24"/>
          <w:shd w:val="clear" w:color="auto" w:fill="FFFFFF"/>
        </w:rPr>
        <w:t>Середовище вважається лінійним, ізотропним, однорідним.</w:t>
      </w:r>
    </w:p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jc w:val="center"/>
        <w:tblLook w:val="00A0"/>
      </w:tblPr>
      <w:tblGrid>
        <w:gridCol w:w="4672"/>
        <w:gridCol w:w="4790"/>
      </w:tblGrid>
      <w:tr w:rsidR="00707F4C" w:rsidRPr="00CD4B1E" w:rsidTr="002D60A9">
        <w:trPr>
          <w:jc w:val="center"/>
        </w:trPr>
        <w:tc>
          <w:tcPr>
            <w:tcW w:w="4672" w:type="dxa"/>
          </w:tcPr>
          <w:p w:rsidR="00707F4C" w:rsidRPr="00CD4B1E" w:rsidRDefault="00707F4C" w:rsidP="00CD4B1E">
            <w:pPr>
              <w:spacing w:after="0" w:line="240" w:lineRule="auto"/>
              <w:jc w:val="center"/>
              <w:rPr>
                <w:rFonts w:ascii="Times New Roman" w:hAnsi="Times New Roman"/>
                <w:caps/>
                <w:noProof/>
                <w:sz w:val="24"/>
                <w:szCs w:val="24"/>
                <w:lang w:eastAsia="ru-RU"/>
              </w:rPr>
            </w:pPr>
            <w:r w:rsidRPr="00264B74">
              <w:rPr>
                <w:rFonts w:ascii="Times New Roman" w:hAnsi="Times New Roman"/>
                <w:caps/>
                <w:noProof/>
                <w:sz w:val="24"/>
                <w:szCs w:val="24"/>
                <w:lang w:eastAsia="ru-RU"/>
              </w:rPr>
              <w:pict>
                <v:shape id="Рисунок 6" o:spid="_x0000_i1030" type="#_x0000_t75" style="width:184.5pt;height:175.5pt;visibility:visible">
                  <v:imagedata r:id="rId15" o:title="" croptop="14023f" cropright="3863f"/>
                </v:shape>
              </w:pict>
            </w:r>
          </w:p>
          <w:p w:rsidR="00707F4C" w:rsidRPr="00CD4B1E" w:rsidRDefault="00707F4C" w:rsidP="00CD4B1E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B1E">
              <w:rPr>
                <w:rFonts w:ascii="Times New Roman" w:hAnsi="Times New Roman"/>
                <w:sz w:val="24"/>
                <w:szCs w:val="24"/>
              </w:rPr>
              <w:t>а)</w:t>
            </w:r>
          </w:p>
        </w:tc>
        <w:tc>
          <w:tcPr>
            <w:tcW w:w="4673" w:type="dxa"/>
          </w:tcPr>
          <w:p w:rsidR="00707F4C" w:rsidRPr="00CD4B1E" w:rsidRDefault="00707F4C" w:rsidP="00CD4B1E">
            <w:pPr>
              <w:spacing w:after="0" w:line="240" w:lineRule="auto"/>
              <w:jc w:val="center"/>
              <w:rPr>
                <w:rFonts w:ascii="Times New Roman" w:hAnsi="Times New Roman"/>
                <w:caps/>
                <w:noProof/>
                <w:sz w:val="24"/>
                <w:szCs w:val="24"/>
                <w:lang w:eastAsia="ru-RU"/>
              </w:rPr>
            </w:pPr>
            <w:r w:rsidRPr="00264B74">
              <w:rPr>
                <w:rFonts w:ascii="Times New Roman" w:hAnsi="Times New Roman"/>
                <w:caps/>
                <w:noProof/>
                <w:sz w:val="24"/>
                <w:szCs w:val="24"/>
                <w:lang w:eastAsia="ru-RU"/>
              </w:rPr>
              <w:pict>
                <v:shape id="Рисунок 1" o:spid="_x0000_i1031" type="#_x0000_t75" style="width:227.25pt;height:170.25pt;visibility:visible">
                  <v:imagedata r:id="rId16" o:title=""/>
                </v:shape>
              </w:pict>
            </w:r>
          </w:p>
          <w:p w:rsidR="00707F4C" w:rsidRPr="00CD4B1E" w:rsidRDefault="00707F4C" w:rsidP="00CD4B1E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B1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б)</w:t>
            </w:r>
          </w:p>
        </w:tc>
      </w:tr>
    </w:tbl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D4B1E">
        <w:rPr>
          <w:rFonts w:ascii="Times New Roman" w:hAnsi="Times New Roman"/>
          <w:sz w:val="24"/>
          <w:szCs w:val="24"/>
        </w:rPr>
        <w:t>Рис.2 - Вихрострумовий перетворювач: а) геометрична модель котушки із поперечним прямокутним перетином; б) «точна» функція розподілу ЩВС на поверхні ОК з урахуванням симетрії</w:t>
      </w:r>
    </w:p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D4B1E">
        <w:rPr>
          <w:rFonts w:ascii="Times New Roman" w:hAnsi="Times New Roman"/>
          <w:sz w:val="24"/>
          <w:szCs w:val="24"/>
        </w:rPr>
        <w:t xml:space="preserve">Для математичної моделі, що описує розподіл ЩВС для випадку котушки з поперечним перетином на відміну від тонкого витка, необхідно врахувати додатково інтегрування по площі перетину. Тобто модель ускладнюється і відповідно збільшується час розрахунку, наприклад, при врахуванні наявності однієї складової швидкості </w:t>
      </w:r>
      <w:r w:rsidRPr="00CD4B1E">
        <w:rPr>
          <w:rFonts w:ascii="Times New Roman" w:hAnsi="Times New Roman"/>
          <w:position w:val="-12"/>
          <w:sz w:val="24"/>
          <w:szCs w:val="24"/>
        </w:rPr>
        <w:object w:dxaOrig="1200" w:dyaOrig="360">
          <v:shape id="_x0000_i1032" type="#_x0000_t75" style="width:60pt;height:18pt" o:ole="">
            <v:imagedata r:id="rId17" o:title=""/>
          </v:shape>
          <o:OLEObject Type="Embed" ProgID="Equation.3" ShapeID="_x0000_i1032" DrawAspect="Content" ObjectID="_1591463139" r:id="rId18"/>
        </w:object>
      </w:r>
      <w:r w:rsidRPr="00CD4B1E">
        <w:rPr>
          <w:rFonts w:ascii="Times New Roman" w:hAnsi="Times New Roman"/>
          <w:sz w:val="24"/>
          <w:szCs w:val="24"/>
        </w:rPr>
        <w:t xml:space="preserve"> та при умові </w:t>
      </w:r>
      <w:r w:rsidRPr="00CD4B1E">
        <w:rPr>
          <w:rFonts w:ascii="Times New Roman" w:hAnsi="Times New Roman"/>
          <w:position w:val="-10"/>
          <w:sz w:val="24"/>
          <w:szCs w:val="24"/>
        </w:rPr>
        <w:object w:dxaOrig="940" w:dyaOrig="260">
          <v:shape id="_x0000_i1033" type="#_x0000_t75" style="width:45.75pt;height:12.75pt" o:ole="">
            <v:imagedata r:id="rId19" o:title=""/>
          </v:shape>
          <o:OLEObject Type="Embed" ProgID="Equation.3" ShapeID="_x0000_i1033" DrawAspect="Content" ObjectID="_1591463140" r:id="rId20"/>
        </w:object>
      </w:r>
      <w:r w:rsidRPr="00CD4B1E">
        <w:rPr>
          <w:rFonts w:ascii="Times New Roman" w:hAnsi="Times New Roman"/>
          <w:sz w:val="24"/>
          <w:szCs w:val="24"/>
        </w:rPr>
        <w:t xml:space="preserve"> час розрахунку складає 6,5-7 год, а при русі перетворювача у випадку </w:t>
      </w:r>
      <w:r w:rsidRPr="00CD4B1E">
        <w:rPr>
          <w:rFonts w:ascii="Times New Roman" w:hAnsi="Times New Roman"/>
          <w:position w:val="-14"/>
          <w:sz w:val="24"/>
          <w:szCs w:val="24"/>
        </w:rPr>
        <w:object w:dxaOrig="1340" w:dyaOrig="380">
          <v:shape id="_x0000_i1034" type="#_x0000_t75" style="width:66pt;height:18.75pt" o:ole="">
            <v:imagedata r:id="rId21" o:title=""/>
          </v:shape>
          <o:OLEObject Type="Embed" ProgID="Equation.3" ShapeID="_x0000_i1034" DrawAspect="Content" ObjectID="_1591463141" r:id="rId22"/>
        </w:object>
      </w:r>
      <w:r w:rsidRPr="00CD4B1E">
        <w:rPr>
          <w:rFonts w:ascii="Times New Roman" w:hAnsi="Times New Roman"/>
          <w:sz w:val="24"/>
          <w:szCs w:val="24"/>
        </w:rPr>
        <w:t xml:space="preserve"> - 7,5-8,4 год. Таким чином, час розрахунку є достатньо великим. Тобто використовувати математичну модель (2) безпосередньо в задачі оптимального синтезу, як в роботі [3], недоцільно з огляду на значну ресурсоємність.</w:t>
      </w:r>
    </w:p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CD4B1E">
        <w:rPr>
          <w:rFonts w:ascii="Times New Roman" w:hAnsi="Times New Roman"/>
          <w:sz w:val="24"/>
          <w:szCs w:val="24"/>
        </w:rPr>
        <w:t>Ця проблема може бути вирішена використанням сурогатної оптимізації, застосування якої передбачає побудову сурогатної моделі (метамоделі-замісника) ВСП [4]. Під метамоделлю розуміють просту в обчислювальному сенсі формальну модель на більш складну модель, побудовану на фізичних законах. Тобто в оптимізаційному алгоритмі буде використовуватися метамодель (або модель – замісник), що описує розподіл ЩВС</w:t>
      </w:r>
      <w:r w:rsidRPr="00CD4B1E">
        <w:rPr>
          <w:rFonts w:ascii="Times New Roman" w:hAnsi="Times New Roman"/>
          <w:position w:val="-6"/>
          <w:sz w:val="24"/>
          <w:szCs w:val="24"/>
          <w:shd w:val="clear" w:color="auto" w:fill="FFFFFF"/>
        </w:rPr>
        <w:t xml:space="preserve"> </w:t>
      </w:r>
      <w:r w:rsidRPr="00CD4B1E">
        <w:rPr>
          <w:rFonts w:ascii="Times New Roman" w:hAnsi="Times New Roman"/>
          <w:position w:val="-6"/>
          <w:sz w:val="24"/>
          <w:szCs w:val="24"/>
          <w:shd w:val="clear" w:color="auto" w:fill="FFFFFF"/>
        </w:rPr>
        <w:object w:dxaOrig="220" w:dyaOrig="340">
          <v:shape id="_x0000_i1035" type="#_x0000_t75" style="width:11.25pt;height:17.25pt" o:ole="">
            <v:imagedata r:id="rId23" o:title=""/>
          </v:shape>
          <o:OLEObject Type="Embed" ProgID="Equation.3" ShapeID="_x0000_i1035" DrawAspect="Content" ObjectID="_1591463142" r:id="rId24"/>
        </w:object>
      </w:r>
      <w:r w:rsidRPr="00CD4B1E">
        <w:rPr>
          <w:rFonts w:ascii="Times New Roman" w:hAnsi="Times New Roman"/>
          <w:sz w:val="24"/>
          <w:szCs w:val="24"/>
        </w:rPr>
        <w:t xml:space="preserve">. </w:t>
      </w:r>
      <w:r w:rsidRPr="00CD4B1E">
        <w:rPr>
          <w:rFonts w:ascii="Times New Roman" w:hAnsi="Times New Roman"/>
          <w:spacing w:val="-2"/>
          <w:sz w:val="24"/>
          <w:szCs w:val="24"/>
        </w:rPr>
        <w:t xml:space="preserve">Такий підхід дозволяє вирішувати задачі оптимального синтезу з використанням метамоделей ВСП в рамках задач сурогатної оптимізації(1) [5-7]. </w:t>
      </w:r>
    </w:p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D4B1E">
        <w:rPr>
          <w:rFonts w:ascii="Times New Roman" w:hAnsi="Times New Roman"/>
          <w:spacing w:val="-2"/>
          <w:sz w:val="24"/>
          <w:szCs w:val="24"/>
        </w:rPr>
        <w:t xml:space="preserve">Побудова метамоделі виконується в наступній послідовності: по-перше, побудова регресійної (або апроксимаційної) моделі, по-друге, побудова плану обчислювального експерименту та перевірка отриманих моделей на адекватність. </w:t>
      </w:r>
    </w:p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D4B1E">
        <w:rPr>
          <w:rFonts w:ascii="Times New Roman" w:hAnsi="Times New Roman"/>
          <w:sz w:val="24"/>
          <w:szCs w:val="24"/>
        </w:rPr>
        <w:t>Відомі методи побудови метамоделей відрізняються різноманітними підходами до апроксимації та складністю реалізації.</w:t>
      </w:r>
      <w:r w:rsidRPr="00CD4B1E">
        <w:rPr>
          <w:rFonts w:ascii="Times New Roman" w:hAnsi="Times New Roman"/>
          <w:spacing w:val="-2"/>
          <w:sz w:val="24"/>
          <w:szCs w:val="24"/>
        </w:rPr>
        <w:t xml:space="preserve"> В даному дослідженні для реалізації задачі створення регресійної моделі використовується евристичний спосіб побудови за допомогою нейронної мережі. </w:t>
      </w:r>
      <w:r w:rsidRPr="00CD4B1E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В якості </w:t>
      </w:r>
      <w:r w:rsidRPr="00CD4B1E">
        <w:rPr>
          <w:rStyle w:val="hiddenspellerror"/>
          <w:rFonts w:ascii="Times New Roman" w:hAnsi="Times New Roman"/>
          <w:spacing w:val="-2"/>
          <w:sz w:val="24"/>
          <w:szCs w:val="24"/>
        </w:rPr>
        <w:t xml:space="preserve">апроксиматора </w:t>
      </w:r>
      <w:r w:rsidRPr="00CD4B1E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використовуються штучні RBF- та MLP-нейронні мережі. План експерименту реалізовано за допомогою рівномірного комп’ютерного заповнення точками багатовимірного простору пошуку, а саме, з використання </w:t>
      </w:r>
      <w:r w:rsidRPr="00CD4B1E">
        <w:rPr>
          <w:rStyle w:val="hiddenspellerror"/>
          <w:rFonts w:ascii="Times New Roman" w:hAnsi="Times New Roman"/>
          <w:spacing w:val="-2"/>
          <w:sz w:val="24"/>
          <w:szCs w:val="24"/>
        </w:rPr>
        <w:t>ЛП</w:t>
      </w:r>
      <w:r w:rsidRPr="00CD4B1E">
        <w:rPr>
          <w:rStyle w:val="hiddenspellerror"/>
          <w:rFonts w:ascii="Times New Roman" w:hAnsi="Times New Roman"/>
          <w:spacing w:val="-2"/>
          <w:sz w:val="24"/>
          <w:szCs w:val="24"/>
          <w:vertAlign w:val="subscript"/>
        </w:rPr>
        <w:t>τ</w:t>
      </w:r>
      <w:r w:rsidRPr="00CD4B1E">
        <w:rPr>
          <w:rStyle w:val="hiddenspellerror"/>
          <w:rFonts w:ascii="Times New Roman" w:hAnsi="Times New Roman"/>
          <w:spacing w:val="-2"/>
          <w:sz w:val="24"/>
          <w:szCs w:val="24"/>
        </w:rPr>
        <w:t>-</w:t>
      </w:r>
      <w:r w:rsidRPr="00CD4B1E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послідовностей Соболя.</w:t>
      </w:r>
      <w:r w:rsidRPr="00CD4B1E">
        <w:rPr>
          <w:rFonts w:ascii="Times New Roman" w:hAnsi="Times New Roman"/>
          <w:sz w:val="24"/>
          <w:szCs w:val="24"/>
        </w:rPr>
        <w:t xml:space="preserve"> Точки плану експерименту згенеровано за допомогою </w:t>
      </w:r>
      <w:r w:rsidRPr="00CD4B1E">
        <w:rPr>
          <w:rStyle w:val="hiddenspellerror"/>
          <w:rFonts w:ascii="Times New Roman" w:hAnsi="Times New Roman"/>
          <w:sz w:val="24"/>
          <w:szCs w:val="24"/>
        </w:rPr>
        <w:t>ЛП</w:t>
      </w:r>
      <w:r w:rsidRPr="00CD4B1E">
        <w:rPr>
          <w:rStyle w:val="hiddenspellerror"/>
          <w:rFonts w:ascii="Times New Roman" w:hAnsi="Times New Roman"/>
          <w:sz w:val="24"/>
          <w:szCs w:val="24"/>
          <w:vertAlign w:val="subscript"/>
        </w:rPr>
        <w:t>τ</w:t>
      </w:r>
      <w:r w:rsidRPr="00CD4B1E">
        <w:rPr>
          <w:rStyle w:val="hiddenspellerror"/>
          <w:rFonts w:ascii="Times New Roman" w:hAnsi="Times New Roman"/>
          <w:sz w:val="24"/>
          <w:szCs w:val="24"/>
        </w:rPr>
        <w:t>-</w:t>
      </w:r>
      <w:r w:rsidRPr="00CD4B1E">
        <w:rPr>
          <w:rFonts w:ascii="Times New Roman" w:hAnsi="Times New Roman"/>
          <w:sz w:val="24"/>
          <w:szCs w:val="24"/>
          <w:shd w:val="clear" w:color="auto" w:fill="FFFFFF"/>
        </w:rPr>
        <w:t xml:space="preserve">послідовності </w:t>
      </w:r>
      <w:r w:rsidRPr="00CD4B1E">
        <w:rPr>
          <w:rFonts w:ascii="Times New Roman" w:hAnsi="Times New Roman"/>
          <w:i/>
          <w:sz w:val="24"/>
          <w:szCs w:val="24"/>
          <w:lang w:eastAsia="ru-RU"/>
        </w:rPr>
        <w:t>(</w:t>
      </w:r>
      <w:r w:rsidRPr="00CD4B1E">
        <w:rPr>
          <w:rFonts w:ascii="Times New Roman" w:hAnsi="Times New Roman"/>
          <w:i/>
          <w:sz w:val="24"/>
          <w:szCs w:val="24"/>
          <w:lang w:eastAsia="ru-RU"/>
        </w:rPr>
        <w:sym w:font="Symbol" w:char="F07A"/>
      </w:r>
      <w:r w:rsidRPr="00CD4B1E">
        <w:rPr>
          <w:rFonts w:ascii="Times New Roman" w:hAnsi="Times New Roman"/>
          <w:i/>
          <w:sz w:val="24"/>
          <w:szCs w:val="24"/>
          <w:vertAlign w:val="subscript"/>
          <w:lang w:eastAsia="ru-RU"/>
        </w:rPr>
        <w:t>1</w:t>
      </w:r>
      <w:r w:rsidRPr="00CD4B1E">
        <w:rPr>
          <w:rFonts w:ascii="Times New Roman" w:hAnsi="Times New Roman"/>
          <w:i/>
          <w:sz w:val="24"/>
          <w:szCs w:val="24"/>
          <w:lang w:eastAsia="ru-RU"/>
        </w:rPr>
        <w:t>, </w:t>
      </w:r>
      <w:r w:rsidRPr="00CD4B1E">
        <w:rPr>
          <w:rFonts w:ascii="Times New Roman" w:hAnsi="Times New Roman"/>
          <w:i/>
          <w:sz w:val="24"/>
          <w:szCs w:val="24"/>
          <w:lang w:eastAsia="ru-RU"/>
        </w:rPr>
        <w:sym w:font="Symbol" w:char="F07A"/>
      </w:r>
      <w:r w:rsidRPr="00CD4B1E">
        <w:rPr>
          <w:rFonts w:ascii="Times New Roman" w:hAnsi="Times New Roman"/>
          <w:i/>
          <w:sz w:val="24"/>
          <w:szCs w:val="24"/>
          <w:vertAlign w:val="subscript"/>
          <w:lang w:eastAsia="ru-RU"/>
        </w:rPr>
        <w:t>7</w:t>
      </w:r>
      <w:r w:rsidRPr="00CD4B1E">
        <w:rPr>
          <w:rFonts w:ascii="Times New Roman" w:hAnsi="Times New Roman"/>
          <w:sz w:val="24"/>
          <w:szCs w:val="24"/>
          <w:lang w:eastAsia="ru-RU"/>
        </w:rPr>
        <w:t xml:space="preserve">), </w:t>
      </w:r>
      <w:r w:rsidRPr="00CD4B1E">
        <w:rPr>
          <w:rFonts w:ascii="Times New Roman" w:hAnsi="Times New Roman"/>
          <w:i/>
          <w:sz w:val="24"/>
          <w:szCs w:val="24"/>
          <w:lang w:eastAsia="ru-RU"/>
        </w:rPr>
        <w:t>(</w:t>
      </w:r>
      <w:r w:rsidRPr="00CD4B1E">
        <w:rPr>
          <w:rFonts w:ascii="Times New Roman" w:hAnsi="Times New Roman"/>
          <w:i/>
          <w:sz w:val="24"/>
          <w:szCs w:val="24"/>
          <w:lang w:eastAsia="ru-RU"/>
        </w:rPr>
        <w:sym w:font="Symbol" w:char="F07A"/>
      </w:r>
      <w:r w:rsidRPr="00CD4B1E">
        <w:rPr>
          <w:rFonts w:ascii="Times New Roman" w:hAnsi="Times New Roman"/>
          <w:i/>
          <w:sz w:val="24"/>
          <w:szCs w:val="24"/>
          <w:vertAlign w:val="subscript"/>
          <w:lang w:eastAsia="ru-RU"/>
        </w:rPr>
        <w:t>1</w:t>
      </w:r>
      <w:r w:rsidRPr="00CD4B1E">
        <w:rPr>
          <w:rFonts w:ascii="Times New Roman" w:hAnsi="Times New Roman"/>
          <w:i/>
          <w:sz w:val="24"/>
          <w:szCs w:val="24"/>
          <w:lang w:eastAsia="ru-RU"/>
        </w:rPr>
        <w:t>, </w:t>
      </w:r>
      <w:r w:rsidRPr="00CD4B1E">
        <w:rPr>
          <w:rFonts w:ascii="Times New Roman" w:hAnsi="Times New Roman"/>
          <w:i/>
          <w:sz w:val="24"/>
          <w:szCs w:val="24"/>
          <w:lang w:eastAsia="ru-RU"/>
        </w:rPr>
        <w:sym w:font="Symbol" w:char="F07A"/>
      </w:r>
      <w:r w:rsidRPr="00CD4B1E">
        <w:rPr>
          <w:rFonts w:ascii="Times New Roman" w:hAnsi="Times New Roman"/>
          <w:i/>
          <w:sz w:val="24"/>
          <w:szCs w:val="24"/>
          <w:vertAlign w:val="subscript"/>
          <w:lang w:eastAsia="ru-RU"/>
        </w:rPr>
        <w:t>2</w:t>
      </w:r>
      <w:r w:rsidRPr="00CD4B1E">
        <w:rPr>
          <w:rFonts w:ascii="Times New Roman" w:hAnsi="Times New Roman"/>
          <w:sz w:val="24"/>
          <w:szCs w:val="24"/>
          <w:lang w:eastAsia="ru-RU"/>
        </w:rPr>
        <w:t>)</w:t>
      </w:r>
      <w:r w:rsidRPr="00CD4B1E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Pr="00CD4B1E">
        <w:rPr>
          <w:rFonts w:ascii="Times New Roman" w:hAnsi="Times New Roman"/>
          <w:sz w:val="24"/>
          <w:szCs w:val="24"/>
        </w:rPr>
        <w:t xml:space="preserve">Отримані значення щільності вихрових струмів в точках плану використано як вихідні дані для виконання наступного етапу – побудови метамоделі. </w:t>
      </w:r>
      <w:r w:rsidRPr="00CD4B1E">
        <w:rPr>
          <w:rFonts w:ascii="Times New Roman" w:hAnsi="Times New Roman"/>
          <w:sz w:val="24"/>
          <w:szCs w:val="24"/>
          <w:shd w:val="clear" w:color="auto" w:fill="FFFFFF"/>
        </w:rPr>
        <w:t>Оскільки функція розподілу ЩВС симетрична, то в зондувальних точках з отриманими координатами розраховувалися значення щільності тільки в першому квадранті, які й використовувалися для побудови цільової функції.</w:t>
      </w:r>
    </w:p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D4B1E">
        <w:rPr>
          <w:rFonts w:ascii="Times New Roman" w:hAnsi="Times New Roman"/>
          <w:sz w:val="24"/>
          <w:szCs w:val="24"/>
        </w:rPr>
        <w:t xml:space="preserve">З використанням обчислювальної технології побудови метамоделі накладного ВСП [6] </w:t>
      </w:r>
      <w:r w:rsidRPr="00CD4B1E">
        <w:rPr>
          <w:rFonts w:ascii="Times New Roman" w:hAnsi="Times New Roman"/>
          <w:color w:val="000000"/>
          <w:spacing w:val="2"/>
          <w:sz w:val="24"/>
          <w:szCs w:val="24"/>
        </w:rPr>
        <w:t xml:space="preserve">створено </w:t>
      </w:r>
      <w:r w:rsidRPr="00CD4B1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майже 300 </w:t>
      </w:r>
      <w:r w:rsidRPr="00CD4B1E">
        <w:rPr>
          <w:rFonts w:ascii="Times New Roman" w:hAnsi="Times New Roman"/>
          <w:color w:val="000000"/>
          <w:spacing w:val="2"/>
          <w:sz w:val="24"/>
          <w:szCs w:val="24"/>
        </w:rPr>
        <w:t xml:space="preserve">RBF-нейронних мереж та 140 </w:t>
      </w:r>
      <w:r w:rsidRPr="00CD4B1E">
        <w:rPr>
          <w:rFonts w:ascii="Times New Roman" w:hAnsi="Times New Roman"/>
          <w:color w:val="000000"/>
          <w:spacing w:val="-2"/>
          <w:sz w:val="24"/>
          <w:szCs w:val="24"/>
          <w:shd w:val="clear" w:color="auto" w:fill="FFFFFF"/>
        </w:rPr>
        <w:t>MLP</w:t>
      </w:r>
      <w:r w:rsidRPr="00CD4B1E">
        <w:rPr>
          <w:rFonts w:ascii="Times New Roman" w:hAnsi="Times New Roman"/>
          <w:color w:val="000000"/>
          <w:spacing w:val="2"/>
          <w:sz w:val="24"/>
          <w:szCs w:val="24"/>
        </w:rPr>
        <w:t xml:space="preserve">-мереж для плану N=255 з кількістю прихованих нейронів від 90 до 170, з яких відбиралися найкращі </w:t>
      </w:r>
      <w:r w:rsidRPr="00CD4B1E">
        <w:rPr>
          <w:rFonts w:ascii="Times New Roman" w:hAnsi="Times New Roman"/>
          <w:color w:val="000000"/>
          <w:sz w:val="24"/>
          <w:szCs w:val="24"/>
        </w:rPr>
        <w:t>за показниками:</w:t>
      </w:r>
      <w:r w:rsidRPr="00CD4B1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коефіцієнту детермінації </w:t>
      </w:r>
      <w:r w:rsidRPr="00CD4B1E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R</w:t>
      </w:r>
      <w:r w:rsidRPr="00CD4B1E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CD4B1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Pr="00CD4B1E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S.D.ratio</w:t>
      </w:r>
      <w:r w:rsidRPr="00CD4B1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Pr="00CD4B1E">
        <w:rPr>
          <w:rFonts w:ascii="Times New Roman" w:hAnsi="Times New Roman"/>
          <w:noProof/>
          <w:color w:val="000000"/>
          <w:sz w:val="24"/>
          <w:szCs w:val="24"/>
          <w:lang w:eastAsia="ru-RU"/>
        </w:rPr>
        <w:t xml:space="preserve">середньої відносної величини модельної похибки </w:t>
      </w:r>
      <w:r w:rsidRPr="00CD4B1E">
        <w:rPr>
          <w:rFonts w:ascii="Times New Roman" w:hAnsi="Times New Roman"/>
          <w:i/>
          <w:iCs/>
          <w:noProof/>
          <w:color w:val="000000"/>
          <w:sz w:val="24"/>
          <w:szCs w:val="24"/>
          <w:lang w:eastAsia="ru-RU"/>
        </w:rPr>
        <w:t>MAPE,%</w:t>
      </w:r>
      <w:r w:rsidRPr="00CD4B1E">
        <w:rPr>
          <w:rFonts w:ascii="Times New Roman" w:hAnsi="Times New Roman"/>
          <w:noProof/>
          <w:color w:val="000000"/>
          <w:sz w:val="24"/>
          <w:szCs w:val="24"/>
          <w:lang w:eastAsia="ru-RU"/>
        </w:rPr>
        <w:t>.</w:t>
      </w:r>
    </w:p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CD4B1E">
        <w:rPr>
          <w:rFonts w:ascii="Times New Roman" w:hAnsi="Times New Roman"/>
          <w:sz w:val="24"/>
          <w:szCs w:val="24"/>
        </w:rPr>
        <w:t>На завершальному етапі виконувалася перевірка правильності відтворюваності поверхні відгуку за допомогою отриманих математичних моделей у всій області моделювання із застосуванням формул, які описують вихід RBF- та MLP-нейронної мережі,</w:t>
      </w:r>
      <w:r w:rsidRPr="00CD4B1E">
        <w:rPr>
          <w:rFonts w:ascii="Times New Roman" w:hAnsi="Times New Roman"/>
          <w:color w:val="FF0000"/>
          <w:spacing w:val="2"/>
          <w:sz w:val="24"/>
          <w:szCs w:val="24"/>
        </w:rPr>
        <w:t xml:space="preserve"> </w:t>
      </w:r>
      <w:r w:rsidRPr="00CD4B1E">
        <w:rPr>
          <w:rFonts w:ascii="Times New Roman" w:hAnsi="Times New Roman"/>
          <w:color w:val="000000"/>
          <w:spacing w:val="2"/>
          <w:sz w:val="24"/>
          <w:szCs w:val="24"/>
        </w:rPr>
        <w:t>а також проводилася їх оцінка на адекватність та інформативність.</w:t>
      </w:r>
    </w:p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D4B1E">
        <w:rPr>
          <w:rFonts w:ascii="Times New Roman" w:hAnsi="Times New Roman"/>
          <w:bCs/>
          <w:sz w:val="24"/>
          <w:szCs w:val="24"/>
        </w:rPr>
        <w:t>Отримані результати чисельних експериментів свідчать щодо можливості використання запропонованої обчи</w:t>
      </w:r>
      <w:bookmarkStart w:id="0" w:name="_GoBack"/>
      <w:bookmarkEnd w:id="0"/>
      <w:r w:rsidRPr="00CD4B1E">
        <w:rPr>
          <w:rFonts w:ascii="Times New Roman" w:hAnsi="Times New Roman"/>
          <w:bCs/>
          <w:sz w:val="24"/>
          <w:szCs w:val="24"/>
        </w:rPr>
        <w:t xml:space="preserve">слювальної технології побудови RBF- та MLP-метамоделей для апроксимації функцій цілі в задачах проектування вихрострумових перетворювачів. </w:t>
      </w:r>
    </w:p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D4B1E">
        <w:rPr>
          <w:rFonts w:ascii="Times New Roman" w:hAnsi="Times New Roman"/>
          <w:sz w:val="24"/>
          <w:szCs w:val="24"/>
        </w:rPr>
        <w:t>Таким чином, застосування технології сурогатної оптимізації дає можливість уникнути проблеми необмеженого збільшення обчислювальних ресурсів в задачах оптимального синтезу ВСП.</w:t>
      </w:r>
      <w:r w:rsidRPr="00CD4B1E">
        <w:rPr>
          <w:rFonts w:ascii="Times New Roman" w:hAnsi="Times New Roman"/>
          <w:bCs/>
          <w:sz w:val="24"/>
          <w:szCs w:val="24"/>
        </w:rPr>
        <w:t xml:space="preserve"> </w:t>
      </w:r>
    </w:p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07F4C" w:rsidRPr="00CD4B1E" w:rsidRDefault="00707F4C" w:rsidP="00CD4B1E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  <w:r w:rsidRPr="00CD4B1E">
        <w:rPr>
          <w:rFonts w:ascii="Times New Roman" w:hAnsi="Times New Roman"/>
          <w:b/>
          <w:bCs/>
          <w:sz w:val="24"/>
          <w:szCs w:val="24"/>
        </w:rPr>
        <w:t>Література</w:t>
      </w:r>
    </w:p>
    <w:p w:rsidR="00707F4C" w:rsidRPr="00CD4B1E" w:rsidRDefault="00707F4C" w:rsidP="00CD4B1E">
      <w:pPr>
        <w:pStyle w:val="ListParagraph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D4B1E">
        <w:rPr>
          <w:rFonts w:ascii="Times New Roman" w:hAnsi="Times New Roman"/>
          <w:sz w:val="24"/>
          <w:szCs w:val="24"/>
        </w:rPr>
        <w:t>Itaya T. Visualization of Eddy Current Distributions for Arbitrarily Shaped Coils Parallel to a Moving Conductor Slab / T. Itaya, K. Ishida, Y. Kubota, A. Tanaka, and N. Takehira // Progress In Electromagnetics Research M.-Vol. – 47. P. 1-12. 2016. DOI:10.2528/PIERM16011204</w:t>
      </w:r>
    </w:p>
    <w:p w:rsidR="00707F4C" w:rsidRPr="00CD4B1E" w:rsidRDefault="00707F4C" w:rsidP="00CD4B1E">
      <w:pPr>
        <w:pStyle w:val="ListParagraph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D4B1E">
        <w:rPr>
          <w:rFonts w:ascii="Times New Roman" w:hAnsi="Times New Roman"/>
          <w:sz w:val="24"/>
          <w:szCs w:val="24"/>
        </w:rPr>
        <w:t>Dood C.V. Analytical Solutions to Eddy Current Probe-Coil Problems / C.V. Dood, W.E. Deeds // Journal of Applied physics. – 1968. - 39. – Pp. 2829-2838.</w:t>
      </w:r>
    </w:p>
    <w:p w:rsidR="00707F4C" w:rsidRPr="00CD4B1E" w:rsidRDefault="00707F4C" w:rsidP="00CD4B1E">
      <w:pPr>
        <w:pStyle w:val="ListParagraph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D4B1E">
        <w:rPr>
          <w:rFonts w:ascii="Times New Roman" w:hAnsi="Times New Roman"/>
          <w:sz w:val="24"/>
          <w:szCs w:val="24"/>
        </w:rPr>
        <w:t xml:space="preserve">Gal’chenko V.Ya. Structural Synthesis of Attachable Eddy-Current Probes with a Given Distribution of the Probing Field in the Test Zone / </w:t>
      </w:r>
      <w:r w:rsidRPr="00CD4B1E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V.Ya. Gal’chenko</w:t>
      </w:r>
      <w:r w:rsidRPr="00CD4B1E">
        <w:rPr>
          <w:rFonts w:ascii="Times New Roman" w:hAnsi="Times New Roman"/>
          <w:sz w:val="24"/>
          <w:szCs w:val="24"/>
        </w:rPr>
        <w:t xml:space="preserve">, M.A. Vorob’ev // Russian Journal of Nondestructive Testing. 2005. - Vol. 41. - No. 1. - P. 29–33. </w:t>
      </w:r>
      <w:r w:rsidRPr="00CD4B1E">
        <w:rPr>
          <w:rFonts w:ascii="Times New Roman" w:hAnsi="Times New Roman"/>
          <w:sz w:val="24"/>
          <w:szCs w:val="24"/>
          <w:shd w:val="clear" w:color="auto" w:fill="FFFFFF"/>
        </w:rPr>
        <w:t>DOI: 10.1007/s11181-005-0124-7</w:t>
      </w:r>
    </w:p>
    <w:p w:rsidR="00707F4C" w:rsidRPr="00CD4B1E" w:rsidRDefault="00707F4C" w:rsidP="00CD4B1E">
      <w:pPr>
        <w:pStyle w:val="ListParagraph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D4B1E">
        <w:rPr>
          <w:rFonts w:ascii="Times New Roman" w:hAnsi="Times New Roman"/>
          <w:sz w:val="24"/>
          <w:szCs w:val="24"/>
          <w:lang w:bidi="ur-PK"/>
        </w:rPr>
        <w:t xml:space="preserve">Гальченко В.Я. </w:t>
      </w:r>
      <w:r w:rsidRPr="00CD4B1E">
        <w:rPr>
          <w:rStyle w:val="a"/>
          <w:sz w:val="24"/>
          <w:szCs w:val="24"/>
        </w:rPr>
        <w:t>Застосування метамоделей для вирішення задач синтезу вихрострумових перетворювачів з однорідним розподілом щільності струму в зоні контролю [</w:t>
      </w:r>
      <w:r w:rsidRPr="00CD4B1E">
        <w:rPr>
          <w:rFonts w:ascii="Times New Roman" w:hAnsi="Times New Roman"/>
          <w:sz w:val="24"/>
          <w:szCs w:val="24"/>
          <w:lang w:bidi="ur-PK"/>
        </w:rPr>
        <w:t xml:space="preserve">Текст] / В.Я. Гальченко, Р.В. Трембовецька, В.В. Тичков // Приладобудування: стан і перспективи: матеріали XVII Міжнародної науково-практичної конференції, 15-16 травня 2018 р., м. Київ: </w:t>
      </w:r>
      <w:r w:rsidRPr="00CD4B1E">
        <w:rPr>
          <w:rFonts w:ascii="Times New Roman" w:hAnsi="Times New Roman"/>
          <w:sz w:val="24"/>
          <w:szCs w:val="24"/>
        </w:rPr>
        <w:t>ПБФ, НТУУ “КПІ”.</w:t>
      </w:r>
      <w:r w:rsidRPr="00CD4B1E">
        <w:rPr>
          <w:rFonts w:ascii="Times New Roman" w:hAnsi="Times New Roman"/>
          <w:sz w:val="24"/>
          <w:szCs w:val="24"/>
          <w:lang w:bidi="ur-PK"/>
        </w:rPr>
        <w:t xml:space="preserve"> 2018.</w:t>
      </w:r>
      <w:r w:rsidRPr="00CD4B1E">
        <w:rPr>
          <w:rStyle w:val="apple-converted-space"/>
          <w:rFonts w:ascii="Times New Roman" w:hAnsi="Times New Roman"/>
          <w:sz w:val="24"/>
          <w:szCs w:val="24"/>
          <w:lang w:bidi="ur-PK"/>
        </w:rPr>
        <w:t xml:space="preserve"> С.</w:t>
      </w:r>
      <w:r w:rsidRPr="00CD4B1E">
        <w:rPr>
          <w:rFonts w:ascii="Times New Roman" w:hAnsi="Times New Roman"/>
          <w:kern w:val="36"/>
          <w:sz w:val="24"/>
          <w:szCs w:val="24"/>
          <w:lang w:eastAsia="uk-UA"/>
        </w:rPr>
        <w:t xml:space="preserve"> 146-147.</w:t>
      </w:r>
    </w:p>
    <w:p w:rsidR="00707F4C" w:rsidRPr="00CD4B1E" w:rsidRDefault="00707F4C" w:rsidP="00CD4B1E">
      <w:pPr>
        <w:pStyle w:val="1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bidi="ur-PK"/>
        </w:rPr>
      </w:pPr>
      <w:r w:rsidRPr="00CD4B1E">
        <w:rPr>
          <w:rFonts w:ascii="Times New Roman" w:hAnsi="Times New Roman"/>
          <w:sz w:val="24"/>
          <w:szCs w:val="24"/>
          <w:lang w:bidi="ur-PK"/>
        </w:rPr>
        <w:t xml:space="preserve">5. Трембовецька Р.В. Застосування MLP-метамоделей в задачах сурогатної оптимізації [Текст] / Р.В. Трембовецька, В.Я. Гальченко, В.В. Тичков // Молодий вчений. – 2018. – №2 (54). – С. 32-39. </w:t>
      </w:r>
    </w:p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D4B1E">
        <w:rPr>
          <w:rFonts w:ascii="Times New Roman" w:hAnsi="Times New Roman"/>
          <w:sz w:val="24"/>
          <w:szCs w:val="24"/>
          <w:lang w:bidi="ur-PK"/>
        </w:rPr>
        <w:t>6. Трембовецька</w:t>
      </w:r>
      <w:r w:rsidRPr="00CD4B1E">
        <w:rPr>
          <w:rFonts w:ascii="Times New Roman" w:hAnsi="Times New Roman"/>
          <w:sz w:val="24"/>
          <w:szCs w:val="24"/>
        </w:rPr>
        <w:t xml:space="preserve"> </w:t>
      </w:r>
      <w:r w:rsidRPr="00CD4B1E">
        <w:rPr>
          <w:rFonts w:ascii="Times New Roman" w:hAnsi="Times New Roman"/>
          <w:sz w:val="24"/>
          <w:szCs w:val="24"/>
          <w:lang w:bidi="ur-PK"/>
        </w:rPr>
        <w:t xml:space="preserve">Р.В. </w:t>
      </w:r>
      <w:r w:rsidRPr="00CD4B1E">
        <w:rPr>
          <w:rFonts w:ascii="Times New Roman" w:hAnsi="Times New Roman"/>
          <w:sz w:val="24"/>
          <w:szCs w:val="24"/>
        </w:rPr>
        <w:t>Вирішення складних задач оптимізації з використанням метамоделей [Text] /</w:t>
      </w:r>
      <w:r w:rsidRPr="00CD4B1E">
        <w:rPr>
          <w:rFonts w:ascii="Times New Roman" w:hAnsi="Times New Roman"/>
          <w:bCs/>
          <w:sz w:val="24"/>
          <w:szCs w:val="24"/>
          <w:shd w:val="clear" w:color="auto" w:fill="FFFFFF"/>
          <w:lang w:eastAsia="uk-UA"/>
        </w:rPr>
        <w:t xml:space="preserve"> </w:t>
      </w:r>
      <w:r w:rsidRPr="00CD4B1E">
        <w:rPr>
          <w:rFonts w:ascii="Times New Roman" w:hAnsi="Times New Roman"/>
          <w:sz w:val="24"/>
          <w:szCs w:val="24"/>
          <w:lang w:bidi="ur-PK"/>
        </w:rPr>
        <w:t>Р.В. Трембовецька</w:t>
      </w:r>
      <w:r w:rsidRPr="00CD4B1E">
        <w:rPr>
          <w:rFonts w:ascii="Times New Roman" w:hAnsi="Times New Roman"/>
          <w:bCs/>
          <w:sz w:val="24"/>
          <w:szCs w:val="24"/>
          <w:shd w:val="clear" w:color="auto" w:fill="FFFFFF"/>
          <w:lang w:eastAsia="uk-UA"/>
        </w:rPr>
        <w:t xml:space="preserve">, </w:t>
      </w:r>
      <w:r w:rsidRPr="00CD4B1E">
        <w:rPr>
          <w:rFonts w:ascii="Times New Roman" w:hAnsi="Times New Roman"/>
          <w:sz w:val="24"/>
          <w:szCs w:val="24"/>
          <w:lang w:bidi="ur-PK"/>
        </w:rPr>
        <w:t>В.Я. Гальченко</w:t>
      </w:r>
      <w:r w:rsidRPr="00CD4B1E">
        <w:rPr>
          <w:rFonts w:ascii="Times New Roman" w:hAnsi="Times New Roman"/>
          <w:bCs/>
          <w:sz w:val="24"/>
          <w:szCs w:val="24"/>
          <w:shd w:val="clear" w:color="auto" w:fill="FFFFFF"/>
          <w:lang w:eastAsia="uk-UA"/>
        </w:rPr>
        <w:t>,</w:t>
      </w:r>
      <w:r w:rsidRPr="00CD4B1E">
        <w:rPr>
          <w:rFonts w:ascii="Times New Roman" w:hAnsi="Times New Roman"/>
          <w:sz w:val="24"/>
          <w:szCs w:val="24"/>
        </w:rPr>
        <w:t xml:space="preserve"> </w:t>
      </w:r>
      <w:r w:rsidRPr="00CD4B1E">
        <w:rPr>
          <w:rFonts w:ascii="Times New Roman" w:hAnsi="Times New Roman"/>
          <w:sz w:val="24"/>
          <w:szCs w:val="24"/>
          <w:lang w:bidi="ur-PK"/>
        </w:rPr>
        <w:t xml:space="preserve">В.В. Тичков </w:t>
      </w:r>
      <w:r w:rsidRPr="00CD4B1E">
        <w:rPr>
          <w:rFonts w:ascii="Times New Roman" w:hAnsi="Times New Roman"/>
          <w:sz w:val="24"/>
          <w:szCs w:val="24"/>
        </w:rPr>
        <w:t>// Information Technologies in Education, Science and Technology" (ITEST-2018): Conference proceedings of IV International Scientific-Practical Conference: Cherkasy, May 17-18, 2018 – Cherkasy: ChSTU, 2018. – Р. 37-42.</w:t>
      </w:r>
    </w:p>
    <w:p w:rsidR="00707F4C" w:rsidRPr="00CD4B1E" w:rsidRDefault="00707F4C" w:rsidP="00CD4B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D4B1E">
        <w:rPr>
          <w:rFonts w:ascii="Times New Roman" w:hAnsi="Times New Roman"/>
          <w:sz w:val="24"/>
          <w:szCs w:val="24"/>
        </w:rPr>
        <w:t>7. Trembovetska R.V.</w:t>
      </w:r>
      <w:r w:rsidRPr="00CD4B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D4B1E">
        <w:rPr>
          <w:rFonts w:ascii="Times New Roman" w:hAnsi="Times New Roman"/>
          <w:sz w:val="24"/>
          <w:szCs w:val="24"/>
        </w:rPr>
        <w:t>The Approximation Surface Review of the Multidimensional Target Function for Surrogate Optimization Problem [Text] / R.V. Trembovetska, V.Ya. Halchenko, V.V. Tychkov // Advanced Information Systems and Technologies: Proceedings of the VI International Scientific Conference, Sumy, May 16–18 2018 / Edited by S. І. Protsenko, V. V. Shendryk – Sumy: Sumy State University, 2018. – P. 34 – 38.</w:t>
      </w:r>
    </w:p>
    <w:p w:rsidR="00707F4C" w:rsidRPr="00CD4B1E" w:rsidRDefault="00707F4C" w:rsidP="00CD4B1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sectPr w:rsidR="00707F4C" w:rsidRPr="00CD4B1E" w:rsidSect="00AC39B8">
      <w:footerReference w:type="default" r:id="rId25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F4C" w:rsidRDefault="00707F4C" w:rsidP="00CD6692">
      <w:pPr>
        <w:spacing w:after="0" w:line="240" w:lineRule="auto"/>
      </w:pPr>
      <w:r>
        <w:separator/>
      </w:r>
    </w:p>
  </w:endnote>
  <w:endnote w:type="continuationSeparator" w:id="0">
    <w:p w:rsidR="00707F4C" w:rsidRDefault="00707F4C" w:rsidP="00CD6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F4C" w:rsidRDefault="00707F4C" w:rsidP="00CD6692">
    <w:pPr>
      <w:pStyle w:val="Footer"/>
      <w:jc w:val="center"/>
    </w:pPr>
    <w:fldSimple w:instr="PAGE   \* MERGEFORMAT">
      <w:r>
        <w:rPr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F4C" w:rsidRDefault="00707F4C" w:rsidP="00CD6692">
      <w:pPr>
        <w:spacing w:after="0" w:line="240" w:lineRule="auto"/>
      </w:pPr>
      <w:r>
        <w:separator/>
      </w:r>
    </w:p>
  </w:footnote>
  <w:footnote w:type="continuationSeparator" w:id="0">
    <w:p w:rsidR="00707F4C" w:rsidRDefault="00707F4C" w:rsidP="00CD66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67EFE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6728C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0AED9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1342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D12B7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FF0A2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354CF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AE829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E4A2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27E18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B859FF"/>
    <w:multiLevelType w:val="hybridMultilevel"/>
    <w:tmpl w:val="165AC06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3715DC8"/>
    <w:multiLevelType w:val="hybridMultilevel"/>
    <w:tmpl w:val="F314C5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7E354FA"/>
    <w:multiLevelType w:val="hybridMultilevel"/>
    <w:tmpl w:val="A168A10C"/>
    <w:lvl w:ilvl="0" w:tplc="E9FADB9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  <w:rPr>
        <w:rFonts w:cs="Times New Roman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5AA8"/>
    <w:rsid w:val="00015C6A"/>
    <w:rsid w:val="00034D9C"/>
    <w:rsid w:val="0003522F"/>
    <w:rsid w:val="00053BD4"/>
    <w:rsid w:val="0006023C"/>
    <w:rsid w:val="00082EB7"/>
    <w:rsid w:val="00086ADC"/>
    <w:rsid w:val="001939C8"/>
    <w:rsid w:val="00193C7C"/>
    <w:rsid w:val="001B5BAF"/>
    <w:rsid w:val="001B6278"/>
    <w:rsid w:val="001D2131"/>
    <w:rsid w:val="001D5EA1"/>
    <w:rsid w:val="00210AE9"/>
    <w:rsid w:val="00215302"/>
    <w:rsid w:val="00217D53"/>
    <w:rsid w:val="00264B74"/>
    <w:rsid w:val="002A3BEF"/>
    <w:rsid w:val="002D1869"/>
    <w:rsid w:val="002D24A0"/>
    <w:rsid w:val="002D60A9"/>
    <w:rsid w:val="00390919"/>
    <w:rsid w:val="003D3A0C"/>
    <w:rsid w:val="00485474"/>
    <w:rsid w:val="00485C87"/>
    <w:rsid w:val="00487833"/>
    <w:rsid w:val="00493684"/>
    <w:rsid w:val="00495AA8"/>
    <w:rsid w:val="004D3EDB"/>
    <w:rsid w:val="004E68B2"/>
    <w:rsid w:val="005038B5"/>
    <w:rsid w:val="0052764D"/>
    <w:rsid w:val="00530453"/>
    <w:rsid w:val="00545B5A"/>
    <w:rsid w:val="0058604A"/>
    <w:rsid w:val="00591319"/>
    <w:rsid w:val="005B6879"/>
    <w:rsid w:val="005C3FD7"/>
    <w:rsid w:val="0062240E"/>
    <w:rsid w:val="0067506C"/>
    <w:rsid w:val="00690D14"/>
    <w:rsid w:val="006B5878"/>
    <w:rsid w:val="006C1C2F"/>
    <w:rsid w:val="006F673F"/>
    <w:rsid w:val="00707F4C"/>
    <w:rsid w:val="007334AA"/>
    <w:rsid w:val="007431D4"/>
    <w:rsid w:val="007661AC"/>
    <w:rsid w:val="00766A9D"/>
    <w:rsid w:val="00797716"/>
    <w:rsid w:val="007F1E06"/>
    <w:rsid w:val="007F4F4B"/>
    <w:rsid w:val="00803FD5"/>
    <w:rsid w:val="008217FC"/>
    <w:rsid w:val="00873B7D"/>
    <w:rsid w:val="008A1690"/>
    <w:rsid w:val="008C2735"/>
    <w:rsid w:val="008E5074"/>
    <w:rsid w:val="00902B41"/>
    <w:rsid w:val="00922B53"/>
    <w:rsid w:val="009B2F33"/>
    <w:rsid w:val="009C736B"/>
    <w:rsid w:val="009D0878"/>
    <w:rsid w:val="009D2A07"/>
    <w:rsid w:val="009E2E43"/>
    <w:rsid w:val="00A47DB8"/>
    <w:rsid w:val="00A560E3"/>
    <w:rsid w:val="00A605A5"/>
    <w:rsid w:val="00A7336A"/>
    <w:rsid w:val="00AA3F6E"/>
    <w:rsid w:val="00AC39B8"/>
    <w:rsid w:val="00AC4380"/>
    <w:rsid w:val="00AD79F0"/>
    <w:rsid w:val="00B00B08"/>
    <w:rsid w:val="00B13162"/>
    <w:rsid w:val="00B429A2"/>
    <w:rsid w:val="00B4644B"/>
    <w:rsid w:val="00B50B1D"/>
    <w:rsid w:val="00B86AC0"/>
    <w:rsid w:val="00BB6A55"/>
    <w:rsid w:val="00C14997"/>
    <w:rsid w:val="00C16332"/>
    <w:rsid w:val="00C557B3"/>
    <w:rsid w:val="00CD4B1E"/>
    <w:rsid w:val="00CD6692"/>
    <w:rsid w:val="00D47990"/>
    <w:rsid w:val="00D8094D"/>
    <w:rsid w:val="00D91EEA"/>
    <w:rsid w:val="00DC0D0F"/>
    <w:rsid w:val="00DE2500"/>
    <w:rsid w:val="00DF3B53"/>
    <w:rsid w:val="00E004C3"/>
    <w:rsid w:val="00E206B9"/>
    <w:rsid w:val="00E57E38"/>
    <w:rsid w:val="00E951E1"/>
    <w:rsid w:val="00EA4BA6"/>
    <w:rsid w:val="00EC1A26"/>
    <w:rsid w:val="00EF5F67"/>
    <w:rsid w:val="00F20646"/>
    <w:rsid w:val="00F501E9"/>
    <w:rsid w:val="00F77722"/>
    <w:rsid w:val="00F855AC"/>
    <w:rsid w:val="00FE1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1AC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00B0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ddenspellerror">
    <w:name w:val="hiddenspellerror"/>
    <w:uiPriority w:val="99"/>
    <w:rsid w:val="00E57E38"/>
  </w:style>
  <w:style w:type="paragraph" w:styleId="ListParagraph">
    <w:name w:val="List Paragraph"/>
    <w:basedOn w:val="Normal"/>
    <w:uiPriority w:val="99"/>
    <w:qFormat/>
    <w:rsid w:val="003D3A0C"/>
    <w:pPr>
      <w:ind w:left="720"/>
      <w:contextualSpacing/>
    </w:pPr>
  </w:style>
  <w:style w:type="character" w:customStyle="1" w:styleId="apple-converted-space">
    <w:name w:val="apple-converted-space"/>
    <w:uiPriority w:val="99"/>
    <w:rsid w:val="003D3A0C"/>
  </w:style>
  <w:style w:type="character" w:customStyle="1" w:styleId="a">
    <w:name w:val="Знак Знак"/>
    <w:uiPriority w:val="99"/>
    <w:rsid w:val="003D3A0C"/>
    <w:rPr>
      <w:rFonts w:ascii="Times New Roman" w:hAnsi="Times New Roman"/>
      <w:sz w:val="26"/>
      <w:u w:val="none"/>
    </w:rPr>
  </w:style>
  <w:style w:type="paragraph" w:customStyle="1" w:styleId="1">
    <w:name w:val="Абзац списка1"/>
    <w:basedOn w:val="Normal"/>
    <w:uiPriority w:val="99"/>
    <w:rsid w:val="003D3A0C"/>
    <w:pPr>
      <w:ind w:left="720"/>
      <w:contextualSpacing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rsid w:val="00CD66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D669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D66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D669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wmf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image" Target="media/image8.wmf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7.bin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1.wmf"/><Relationship Id="rId10" Type="http://schemas.openxmlformats.org/officeDocument/2006/relationships/oleObject" Target="embeddings/oleObject1.bin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6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1221</TotalTime>
  <Pages>4</Pages>
  <Words>1481</Words>
  <Characters>8446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43</cp:revision>
  <dcterms:created xsi:type="dcterms:W3CDTF">2018-06-18T10:31:00Z</dcterms:created>
  <dcterms:modified xsi:type="dcterms:W3CDTF">2018-06-25T17:19:00Z</dcterms:modified>
</cp:coreProperties>
</file>